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1C2" w:rsidRPr="004F2585" w:rsidRDefault="00386A5F" w:rsidP="004F2585">
      <w:pPr>
        <w:spacing w:after="0" w:line="240" w:lineRule="auto"/>
        <w:jc w:val="center"/>
        <w:rPr>
          <w:rFonts w:ascii="Times New Roman" w:hAnsi="Times New Roman" w:cs="Times New Roman"/>
          <w:b/>
          <w:color w:val="303030"/>
          <w:sz w:val="24"/>
          <w:szCs w:val="24"/>
          <w:shd w:val="clear" w:color="auto" w:fill="FFFFFF"/>
        </w:rPr>
      </w:pPr>
      <w:r w:rsidRPr="004F2585">
        <w:rPr>
          <w:rFonts w:ascii="Times New Roman" w:hAnsi="Times New Roman" w:cs="Times New Roman"/>
          <w:b/>
          <w:color w:val="303030"/>
          <w:sz w:val="24"/>
          <w:szCs w:val="24"/>
          <w:shd w:val="clear" w:color="auto" w:fill="FFFFFF"/>
        </w:rPr>
        <w:t>Prévalence des bactéries multirésistantes et performance opérationnelle des systèmes de surveillance de l’antibiorésistance à Kisangani, RDC</w:t>
      </w:r>
    </w:p>
    <w:p w:rsidR="004131C2" w:rsidRDefault="004131C2" w:rsidP="004F2585">
      <w:pPr>
        <w:spacing w:after="0" w:line="240" w:lineRule="auto"/>
        <w:jc w:val="center"/>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cente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Papy Mwanga Kimbalambala</w:t>
      </w:r>
      <w:r>
        <w:rPr>
          <w:rFonts w:ascii="Times New Roman" w:eastAsia="Times New Roman" w:hAnsi="Times New Roman" w:cs="Times New Roman"/>
          <w:kern w:val="0"/>
          <w:vertAlign w:val="superscript"/>
          <w:lang w:eastAsia="fr-FR"/>
          <w14:ligatures w14:val="none"/>
        </w:rPr>
        <w:t>1</w:t>
      </w:r>
    </w:p>
    <w:p w:rsidR="004131C2" w:rsidRDefault="00386A5F" w:rsidP="004F2585">
      <w:pPr>
        <w:spacing w:after="0" w:line="240" w:lineRule="auto"/>
        <w:jc w:val="cente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Evariste Loke Lobanga</w:t>
      </w:r>
      <w:r>
        <w:rPr>
          <w:rFonts w:ascii="Times New Roman" w:eastAsia="Times New Roman" w:hAnsi="Times New Roman" w:cs="Times New Roman"/>
          <w:kern w:val="0"/>
          <w:vertAlign w:val="superscript"/>
          <w:lang w:eastAsia="fr-FR"/>
          <w14:ligatures w14:val="none"/>
        </w:rPr>
        <w:t>2</w:t>
      </w:r>
    </w:p>
    <w:p w:rsidR="004131C2" w:rsidRDefault="00386A5F" w:rsidP="004F2585">
      <w:pPr>
        <w:spacing w:after="0" w:line="240" w:lineRule="auto"/>
        <w:jc w:val="cente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Solomo Basile</w:t>
      </w:r>
      <w:r>
        <w:rPr>
          <w:rFonts w:ascii="Times New Roman" w:eastAsia="Times New Roman" w:hAnsi="Times New Roman" w:cs="Times New Roman"/>
          <w:kern w:val="0"/>
          <w:vertAlign w:val="superscript"/>
          <w:lang w:eastAsia="fr-FR"/>
          <w14:ligatures w14:val="none"/>
        </w:rPr>
        <w:t>3</w:t>
      </w:r>
    </w:p>
    <w:p w:rsidR="004131C2" w:rsidRDefault="00386A5F" w:rsidP="004F2585">
      <w:pPr>
        <w:spacing w:after="0" w:line="240" w:lineRule="auto"/>
        <w:jc w:val="center"/>
        <w:rPr>
          <w:rFonts w:ascii="Times New Roman" w:eastAsia="Times New Roman" w:hAnsi="Times New Roman" w:cs="Times New Roman"/>
          <w:b/>
          <w:bCs/>
          <w:kern w:val="0"/>
          <w:lang w:eastAsia="fr-FR"/>
          <w14:ligatures w14:val="none"/>
        </w:rPr>
      </w:pPr>
      <w:bookmarkStart w:id="0" w:name="_GoBack"/>
      <w:r>
        <w:rPr>
          <w:rFonts w:ascii="Times New Roman" w:eastAsia="Times New Roman" w:hAnsi="Times New Roman" w:cs="Times New Roman"/>
          <w:kern w:val="0"/>
          <w:lang w:eastAsia="fr-FR"/>
          <w14:ligatures w14:val="none"/>
        </w:rPr>
        <w:t>René Oleko Woto</w:t>
      </w:r>
      <w:r>
        <w:rPr>
          <w:rFonts w:ascii="Times New Roman" w:eastAsia="Times New Roman" w:hAnsi="Times New Roman" w:cs="Times New Roman"/>
          <w:kern w:val="0"/>
          <w:vertAlign w:val="superscript"/>
          <w:lang w:eastAsia="fr-FR"/>
          <w14:ligatures w14:val="none"/>
        </w:rPr>
        <w:t>4</w:t>
      </w:r>
    </w:p>
    <w:bookmarkEnd w:id="0"/>
    <w:p w:rsidR="004131C2" w:rsidRDefault="004131C2" w:rsidP="0040045B">
      <w:pPr>
        <w:spacing w:after="0" w:line="240" w:lineRule="auto"/>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center"/>
        <w:rPr>
          <w:rFonts w:ascii="Times New Roman" w:eastAsia="Times New Roman" w:hAnsi="Times New Roman" w:cs="Times New Roman"/>
          <w:iCs/>
          <w:kern w:val="0"/>
          <w:sz w:val="20"/>
          <w:szCs w:val="20"/>
          <w:lang w:eastAsia="fr-FR"/>
          <w14:ligatures w14:val="none"/>
        </w:rPr>
      </w:pPr>
      <w:r w:rsidRPr="0040045B">
        <w:rPr>
          <w:rFonts w:ascii="Times New Roman" w:eastAsia="Times New Roman" w:hAnsi="Times New Roman" w:cs="Times New Roman"/>
          <w:iCs/>
          <w:kern w:val="0"/>
          <w:sz w:val="20"/>
          <w:szCs w:val="20"/>
          <w:vertAlign w:val="superscript"/>
          <w:lang w:eastAsia="fr-FR"/>
          <w14:ligatures w14:val="none"/>
        </w:rPr>
        <w:t>1</w:t>
      </w:r>
      <w:hyperlink r:id="rId9" w:history="1">
        <w:r w:rsidR="0040045B" w:rsidRPr="00B92C49">
          <w:rPr>
            <w:rStyle w:val="Hyperlink"/>
            <w:rFonts w:ascii="Times New Roman" w:eastAsia="Times New Roman" w:hAnsi="Times New Roman" w:cs="Times New Roman"/>
            <w:iCs/>
            <w:kern w:val="0"/>
            <w:sz w:val="20"/>
            <w:szCs w:val="20"/>
            <w:lang w:eastAsia="fr-FR"/>
            <w14:ligatures w14:val="none"/>
          </w:rPr>
          <w:t>papymwanga05@gmail.com</w:t>
        </w:r>
      </w:hyperlink>
    </w:p>
    <w:p w:rsidR="004131C2" w:rsidRDefault="004131C2" w:rsidP="004F2585">
      <w:pPr>
        <w:spacing w:after="0" w:line="240" w:lineRule="auto"/>
        <w:jc w:val="center"/>
        <w:rPr>
          <w:rFonts w:ascii="Times New Roman" w:eastAsia="Times New Roman" w:hAnsi="Times New Roman" w:cs="Times New Roman"/>
          <w:iCs/>
          <w:kern w:val="0"/>
          <w:sz w:val="20"/>
          <w:szCs w:val="20"/>
          <w:lang w:eastAsia="fr-FR"/>
          <w14:ligatures w14:val="none"/>
        </w:rPr>
      </w:pPr>
    </w:p>
    <w:p w:rsidR="004131C2" w:rsidRDefault="00386A5F" w:rsidP="00632FC5">
      <w:pPr>
        <w:spacing w:after="0" w:line="240" w:lineRule="auto"/>
        <w:jc w:val="center"/>
        <w:rPr>
          <w:rFonts w:ascii="Times New Roman" w:eastAsia="Times New Roman" w:hAnsi="Times New Roman" w:cs="Times New Roman"/>
          <w:kern w:val="0"/>
          <w:sz w:val="20"/>
          <w:szCs w:val="20"/>
          <w:lang w:eastAsia="fr-FR"/>
          <w14:ligatures w14:val="none"/>
        </w:rPr>
      </w:pPr>
      <w:r>
        <w:rPr>
          <w:rFonts w:ascii="Times New Roman" w:eastAsia="Times New Roman" w:hAnsi="Times New Roman" w:cs="Times New Roman"/>
          <w:kern w:val="0"/>
          <w:sz w:val="20"/>
          <w:szCs w:val="20"/>
          <w:vertAlign w:val="superscript"/>
          <w:lang w:eastAsia="fr-FR"/>
          <w14:ligatures w14:val="none"/>
        </w:rPr>
        <w:t>1</w:t>
      </w:r>
      <w:r>
        <w:rPr>
          <w:rFonts w:ascii="Times New Roman" w:eastAsia="Times New Roman" w:hAnsi="Times New Roman" w:cs="Times New Roman"/>
          <w:kern w:val="0"/>
          <w:sz w:val="20"/>
          <w:szCs w:val="20"/>
          <w:lang w:eastAsia="fr-FR"/>
          <w14:ligatures w14:val="none"/>
        </w:rPr>
        <w:t>Institut Supérieur des Techniques Médicales de Kisangani,</w:t>
      </w:r>
      <w:r w:rsidR="00EE7391">
        <w:rPr>
          <w:rFonts w:ascii="Times New Roman" w:eastAsia="Times New Roman" w:hAnsi="Times New Roman" w:cs="Times New Roman"/>
          <w:kern w:val="0"/>
          <w:sz w:val="20"/>
          <w:szCs w:val="20"/>
          <w:lang w:eastAsia="fr-FR"/>
          <w14:ligatures w14:val="none"/>
        </w:rPr>
        <w:t xml:space="preserve"> </w:t>
      </w:r>
      <w:r>
        <w:rPr>
          <w:rFonts w:ascii="Times New Roman" w:eastAsia="Times New Roman" w:hAnsi="Times New Roman" w:cs="Times New Roman"/>
          <w:kern w:val="0"/>
          <w:sz w:val="20"/>
          <w:szCs w:val="20"/>
          <w:vertAlign w:val="superscript"/>
          <w:lang w:eastAsia="fr-FR"/>
          <w14:ligatures w14:val="none"/>
        </w:rPr>
        <w:t>2</w:t>
      </w:r>
      <w:proofErr w:type="gramStart"/>
      <w:r>
        <w:rPr>
          <w:rFonts w:ascii="Times New Roman" w:eastAsia="Times New Roman" w:hAnsi="Times New Roman" w:cs="Times New Roman"/>
          <w:kern w:val="0"/>
          <w:sz w:val="20"/>
          <w:szCs w:val="20"/>
          <w:vertAlign w:val="superscript"/>
          <w:lang w:eastAsia="fr-FR"/>
          <w14:ligatures w14:val="none"/>
        </w:rPr>
        <w:t>,3,4</w:t>
      </w:r>
      <w:r>
        <w:rPr>
          <w:rFonts w:ascii="Times New Roman" w:eastAsia="Times New Roman" w:hAnsi="Times New Roman" w:cs="Times New Roman"/>
          <w:kern w:val="0"/>
          <w:sz w:val="20"/>
          <w:szCs w:val="20"/>
          <w:lang w:eastAsia="fr-FR"/>
          <w14:ligatures w14:val="none"/>
        </w:rPr>
        <w:t>Université</w:t>
      </w:r>
      <w:proofErr w:type="gramEnd"/>
      <w:r>
        <w:rPr>
          <w:rFonts w:ascii="Times New Roman" w:eastAsia="Times New Roman" w:hAnsi="Times New Roman" w:cs="Times New Roman"/>
          <w:kern w:val="0"/>
          <w:sz w:val="20"/>
          <w:szCs w:val="20"/>
          <w:lang w:eastAsia="fr-FR"/>
          <w14:ligatures w14:val="none"/>
        </w:rPr>
        <w:t xml:space="preserve"> de Kisangani, </w:t>
      </w:r>
      <w:proofErr w:type="spellStart"/>
      <w:r w:rsidR="0040045B">
        <w:rPr>
          <w:rFonts w:ascii="Times New Roman" w:eastAsia="Times New Roman" w:hAnsi="Times New Roman" w:cs="Times New Roman"/>
          <w:kern w:val="0"/>
          <w:sz w:val="20"/>
          <w:szCs w:val="20"/>
          <w:vertAlign w:val="superscript"/>
          <w:lang w:eastAsia="fr-FR"/>
          <w14:ligatures w14:val="none"/>
        </w:rPr>
        <w:t>1,2,3,4</w:t>
      </w:r>
      <w:r>
        <w:rPr>
          <w:rFonts w:ascii="Times New Roman" w:eastAsia="Times New Roman" w:hAnsi="Times New Roman" w:cs="Times New Roman"/>
          <w:kern w:val="0"/>
          <w:sz w:val="20"/>
          <w:szCs w:val="20"/>
          <w:lang w:eastAsia="fr-FR"/>
          <w14:ligatures w14:val="none"/>
        </w:rPr>
        <w:t>République</w:t>
      </w:r>
      <w:proofErr w:type="spellEnd"/>
      <w:r>
        <w:rPr>
          <w:rFonts w:ascii="Times New Roman" w:eastAsia="Times New Roman" w:hAnsi="Times New Roman" w:cs="Times New Roman"/>
          <w:kern w:val="0"/>
          <w:sz w:val="20"/>
          <w:szCs w:val="20"/>
          <w:lang w:eastAsia="fr-FR"/>
          <w14:ligatures w14:val="none"/>
        </w:rPr>
        <w:t xml:space="preserve"> </w:t>
      </w:r>
      <w:r w:rsidR="00632FC5">
        <w:rPr>
          <w:rFonts w:ascii="Times New Roman" w:eastAsia="Times New Roman" w:hAnsi="Times New Roman" w:cs="Times New Roman"/>
          <w:kern w:val="0"/>
          <w:sz w:val="20"/>
          <w:szCs w:val="20"/>
          <w:lang w:eastAsia="fr-FR"/>
          <w14:ligatures w14:val="none"/>
        </w:rPr>
        <w:t>D</w:t>
      </w:r>
      <w:r>
        <w:rPr>
          <w:rFonts w:ascii="Times New Roman" w:eastAsia="Times New Roman" w:hAnsi="Times New Roman" w:cs="Times New Roman"/>
          <w:kern w:val="0"/>
          <w:sz w:val="20"/>
          <w:szCs w:val="20"/>
          <w:lang w:eastAsia="fr-FR"/>
          <w14:ligatures w14:val="none"/>
        </w:rPr>
        <w:t>émocratique du Congo</w:t>
      </w:r>
    </w:p>
    <w:p w:rsidR="00E0645F" w:rsidRDefault="00E0645F" w:rsidP="004F2585">
      <w:pPr>
        <w:spacing w:after="0" w:line="240" w:lineRule="auto"/>
        <w:jc w:val="center"/>
        <w:rPr>
          <w:rFonts w:ascii="Times New Roman" w:eastAsia="Times New Roman" w:hAnsi="Times New Roman" w:cs="Times New Roman"/>
          <w:kern w:val="0"/>
          <w:sz w:val="20"/>
          <w:szCs w:val="20"/>
          <w:lang w:eastAsia="fr-FR"/>
          <w14:ligatures w14:val="none"/>
        </w:rPr>
      </w:pPr>
    </w:p>
    <w:p w:rsidR="004131C2" w:rsidRDefault="0040045B" w:rsidP="004F2585">
      <w:pPr>
        <w:spacing w:after="0" w:line="240" w:lineRule="auto"/>
        <w:jc w:val="center"/>
        <w:rPr>
          <w:rFonts w:ascii="Times New Roman" w:eastAsia="Times New Roman" w:hAnsi="Times New Roman" w:cs="Times New Roman"/>
          <w:kern w:val="0"/>
          <w:sz w:val="20"/>
          <w:szCs w:val="20"/>
          <w:lang w:eastAsia="fr-FR"/>
          <w14:ligatures w14:val="none"/>
        </w:rPr>
      </w:pPr>
      <w:hyperlink r:id="rId10" w:history="1">
        <w:r w:rsidRPr="00B92C49">
          <w:rPr>
            <w:rStyle w:val="Hyperlink"/>
            <w:rFonts w:ascii="Times New Roman" w:eastAsia="Times New Roman" w:hAnsi="Times New Roman" w:cs="Times New Roman"/>
            <w:kern w:val="0"/>
            <w:sz w:val="20"/>
            <w:szCs w:val="20"/>
            <w:lang w:eastAsia="fr-FR"/>
            <w14:ligatures w14:val="none"/>
          </w:rPr>
          <w:t>https://doi.org/10.51867/ajernet.7.2.46</w:t>
        </w:r>
      </w:hyperlink>
    </w:p>
    <w:p w:rsidR="004131C2" w:rsidRDefault="00386A5F" w:rsidP="004F2585">
      <w:pPr>
        <w:spacing w:after="0" w:line="240" w:lineRule="auto"/>
        <w:jc w:val="both"/>
        <w:rPr>
          <w:rFonts w:ascii="Times New Roman" w:eastAsia="Times New Roman" w:hAnsi="Times New Roman" w:cs="Times New Roman"/>
          <w:kern w:val="0"/>
          <w:sz w:val="20"/>
          <w:szCs w:val="20"/>
          <w:lang w:eastAsia="fr-FR"/>
          <w14:ligatures w14:val="none"/>
        </w:rPr>
      </w:pPr>
      <w:r>
        <w:rPr>
          <w:rFonts w:ascii="Times New Roman" w:hAnsi="Times New Roman" w:cs="Times New Roman"/>
          <w:bCs/>
          <w:sz w:val="20"/>
          <w:szCs w:val="20"/>
        </w:rPr>
        <w:t>……………………………………………………………………………………………………………………………………….…</w:t>
      </w:r>
    </w:p>
    <w:p w:rsidR="004131C2" w:rsidRDefault="004131C2" w:rsidP="004F2585">
      <w:pPr>
        <w:spacing w:after="0" w:line="240" w:lineRule="auto"/>
        <w:jc w:val="both"/>
        <w:rPr>
          <w:rFonts w:ascii="Times New Roman" w:eastAsia="Times New Roman" w:hAnsi="Times New Roman" w:cs="Times New Roman"/>
          <w:kern w:val="0"/>
          <w:sz w:val="20"/>
          <w:szCs w:val="20"/>
          <w:lang w:eastAsia="fr-FR"/>
          <w14:ligatures w14:val="none"/>
        </w:rPr>
      </w:pPr>
    </w:p>
    <w:p w:rsidR="004131C2" w:rsidRDefault="00386A5F" w:rsidP="004F2585">
      <w:pPr>
        <w:spacing w:after="0" w:line="240" w:lineRule="auto"/>
        <w:jc w:val="center"/>
        <w:rPr>
          <w:rFonts w:ascii="Times New Roman" w:eastAsia="Times New Roman" w:hAnsi="Times New Roman" w:cs="Times New Roman"/>
          <w:b/>
          <w:bCs/>
          <w:kern w:val="0"/>
          <w:sz w:val="20"/>
          <w:szCs w:val="20"/>
          <w:lang w:eastAsia="fr-FR"/>
          <w14:ligatures w14:val="none"/>
        </w:rPr>
      </w:pPr>
      <w:r>
        <w:rPr>
          <w:rFonts w:ascii="Times New Roman" w:eastAsia="Times New Roman" w:hAnsi="Times New Roman" w:cs="Times New Roman"/>
          <w:b/>
          <w:bCs/>
          <w:kern w:val="0"/>
          <w:sz w:val="20"/>
          <w:szCs w:val="20"/>
          <w:lang w:eastAsia="fr-FR"/>
          <w14:ligatures w14:val="none"/>
        </w:rPr>
        <w:t>RESUME</w:t>
      </w:r>
    </w:p>
    <w:p w:rsidR="004131C2" w:rsidRDefault="004131C2" w:rsidP="004F2585">
      <w:pPr>
        <w:spacing w:after="0" w:line="240" w:lineRule="auto"/>
        <w:jc w:val="both"/>
        <w:rPr>
          <w:rFonts w:ascii="Times New Roman" w:eastAsia="Times New Roman" w:hAnsi="Times New Roman" w:cs="Times New Roman"/>
          <w:kern w:val="0"/>
          <w:sz w:val="20"/>
          <w:szCs w:val="20"/>
          <w:lang w:eastAsia="fr-FR"/>
          <w14:ligatures w14:val="none"/>
        </w:rPr>
      </w:pPr>
    </w:p>
    <w:p w:rsidR="00E56B61" w:rsidRPr="00E56B61" w:rsidRDefault="00E56B61" w:rsidP="00E56B61">
      <w:pPr>
        <w:spacing w:after="0" w:line="240" w:lineRule="auto"/>
        <w:jc w:val="both"/>
        <w:rPr>
          <w:rFonts w:ascii="Times New Roman" w:eastAsia="Times New Roman" w:hAnsi="Times New Roman" w:cs="Times New Roman"/>
          <w:iCs/>
          <w:kern w:val="0"/>
          <w:sz w:val="20"/>
          <w:szCs w:val="20"/>
          <w:lang w:eastAsia="fr-FR"/>
          <w14:ligatures w14:val="none"/>
        </w:rPr>
      </w:pPr>
      <w:r w:rsidRPr="00E56B61">
        <w:rPr>
          <w:rFonts w:ascii="Times New Roman" w:eastAsia="Times New Roman" w:hAnsi="Times New Roman" w:cs="Times New Roman"/>
          <w:iCs/>
          <w:kern w:val="0"/>
          <w:sz w:val="20"/>
          <w:szCs w:val="20"/>
          <w:lang w:eastAsia="fr-FR"/>
          <w14:ligatures w14:val="none"/>
        </w:rPr>
        <w:t>Cette étude évalue les capacités opérationnelles des laboratoires et l’efficacité des systèmes de surveillance de la résistance aux antimicrobiens (RAM) à Kisangani, afin d'identifier les lacunes structurelles et d'orienter les politiques de santé publique en République Démocratique du Congo. Une enquête transversale descriptive et analytique a été menée de janvier 2021 à décembre 2025 au sein de quatre structures pivots : l’Hôpital du Cinquantenaire, le Laboratoire Ema Esu, les Cliniques Universitaires et la Polyclinique REKAPI. Sur un total de 10 247 prélèvements analysés, 7 365 cultures positives (71,87 %) ont été identifiées. L’identification a été réalisée par méthodes biochimiques (VITEK® 2, galeries API) et la sensibilité testée selon les standards CLSI 2023 et EUCAST 2024. Les analyses statistiques ont été effectuées via les logiciels SPSS 25.0 et R 4.3.1 avec un seuil de signification p &lt; 0,05.</w:t>
      </w:r>
      <w:r w:rsidRPr="00E56B61">
        <w:rPr>
          <w:rFonts w:ascii="Times New Roman" w:eastAsia="Times New Roman" w:hAnsi="Times New Roman" w:cs="Times New Roman"/>
          <w:iCs/>
          <w:kern w:val="0"/>
          <w:sz w:val="20"/>
          <w:szCs w:val="20"/>
          <w:lang w:eastAsia="fr-FR"/>
          <w14:ligatures w14:val="none"/>
        </w:rPr>
        <w:t xml:space="preserve"> </w:t>
      </w:r>
      <w:r w:rsidRPr="00E56B61">
        <w:rPr>
          <w:rFonts w:ascii="Times New Roman" w:eastAsia="Times New Roman" w:hAnsi="Times New Roman" w:cs="Times New Roman"/>
          <w:iCs/>
          <w:kern w:val="0"/>
          <w:sz w:val="20"/>
          <w:szCs w:val="20"/>
          <w:lang w:eastAsia="fr-FR"/>
          <w14:ligatures w14:val="none"/>
        </w:rPr>
        <w:t xml:space="preserve">L’étude révèle une prédominance des bacilles Gram négatif (72,27 %). Les espèces majeures isolées sont </w:t>
      </w:r>
      <w:r w:rsidRPr="00E56B61">
        <w:rPr>
          <w:rFonts w:ascii="Times New Roman" w:eastAsia="Times New Roman" w:hAnsi="Times New Roman" w:cs="Times New Roman"/>
          <w:i/>
          <w:iCs/>
          <w:kern w:val="0"/>
          <w:sz w:val="20"/>
          <w:szCs w:val="20"/>
          <w:lang w:eastAsia="fr-FR"/>
          <w14:ligatures w14:val="none"/>
        </w:rPr>
        <w:t>Staphylococcus aureus</w:t>
      </w:r>
      <w:r w:rsidRPr="00E56B61">
        <w:rPr>
          <w:rFonts w:ascii="Times New Roman" w:eastAsia="Times New Roman" w:hAnsi="Times New Roman" w:cs="Times New Roman"/>
          <w:iCs/>
          <w:kern w:val="0"/>
          <w:sz w:val="20"/>
          <w:szCs w:val="20"/>
          <w:lang w:eastAsia="fr-FR"/>
          <w14:ligatures w14:val="none"/>
        </w:rPr>
        <w:t xml:space="preserve"> (24,55 %) et </w:t>
      </w:r>
      <w:r w:rsidRPr="00E56B61">
        <w:rPr>
          <w:rFonts w:ascii="Times New Roman" w:eastAsia="Times New Roman" w:hAnsi="Times New Roman" w:cs="Times New Roman"/>
          <w:i/>
          <w:iCs/>
          <w:kern w:val="0"/>
          <w:sz w:val="20"/>
          <w:szCs w:val="20"/>
          <w:lang w:eastAsia="fr-FR"/>
          <w14:ligatures w14:val="none"/>
        </w:rPr>
        <w:t>Escherichia coli</w:t>
      </w:r>
      <w:r w:rsidRPr="00E56B61">
        <w:rPr>
          <w:rFonts w:ascii="Times New Roman" w:eastAsia="Times New Roman" w:hAnsi="Times New Roman" w:cs="Times New Roman"/>
          <w:iCs/>
          <w:kern w:val="0"/>
          <w:sz w:val="20"/>
          <w:szCs w:val="20"/>
          <w:lang w:eastAsia="fr-FR"/>
          <w14:ligatures w14:val="none"/>
        </w:rPr>
        <w:t xml:space="preserve"> (19,34 %). Une prédominance féminine nette est observée (71,67 %), principalement liée aux infections urinaires qui représentent 29,6 % des prélèvements. Les taux de résistance sont alarmants, oscillant entre 50 % et 60 % pour les molécules usuelles. La sensibilité est particulièrement critique pour la ceftriaxone (15,88 %) et la ciprofloxacine (14,12 %). Fait préoccupant, le méropénème, antibiotique de dernier recours, affiche une résistance globale de 60 %, suggérant la circulation de phénotypes multirésistants (MDR) et de souches productrices de BLSE.</w:t>
      </w:r>
      <w:r w:rsidRPr="00E56B61">
        <w:rPr>
          <w:rFonts w:ascii="Times New Roman" w:eastAsia="Times New Roman" w:hAnsi="Times New Roman" w:cs="Times New Roman"/>
          <w:iCs/>
          <w:kern w:val="0"/>
          <w:sz w:val="20"/>
          <w:szCs w:val="20"/>
          <w:lang w:eastAsia="fr-FR"/>
          <w14:ligatures w14:val="none"/>
        </w:rPr>
        <w:t xml:space="preserve"> </w:t>
      </w:r>
      <w:r w:rsidRPr="00E56B61">
        <w:rPr>
          <w:rFonts w:ascii="Times New Roman" w:eastAsia="Times New Roman" w:hAnsi="Times New Roman" w:cs="Times New Roman"/>
          <w:iCs/>
          <w:kern w:val="0"/>
          <w:sz w:val="20"/>
          <w:szCs w:val="20"/>
          <w:lang w:eastAsia="fr-FR"/>
          <w14:ligatures w14:val="none"/>
        </w:rPr>
        <w:t>La portée des résultats est limitée par le design transversal de l'étude, l'absence de caractérisation moléculaire (PCR/séquençage) pour identifier les gènes de résistance spécifiques, et un biais potentiel lié à l'échantillonnage non probabiliste. Kisangani agit comme une « sentinelle écologique » témoignant de l'érosion de l'arsenal thérapeutique en Afrique centrale. Ces résultats imposent une rupture avec l'antibiothérapie empirique au profit du « Diagnostic Stewardship » et de l’approche « One Health » pour freiner la dissémination des bactéries multirésistantes.</w:t>
      </w:r>
    </w:p>
    <w:p w:rsidR="004131C2" w:rsidRPr="00E56B61" w:rsidRDefault="004131C2" w:rsidP="004F2585">
      <w:pPr>
        <w:spacing w:after="0" w:line="240" w:lineRule="auto"/>
        <w:jc w:val="both"/>
        <w:rPr>
          <w:rFonts w:ascii="Times New Roman" w:eastAsia="Times New Roman" w:hAnsi="Times New Roman" w:cs="Times New Roman"/>
          <w:b/>
          <w:bCs/>
          <w:kern w:val="0"/>
          <w:sz w:val="20"/>
          <w:szCs w:val="20"/>
          <w:lang w:eastAsia="fr-FR"/>
          <w14:ligatures w14:val="none"/>
        </w:rPr>
      </w:pPr>
    </w:p>
    <w:p w:rsidR="004131C2" w:rsidRDefault="00EE7391" w:rsidP="00FC5E93">
      <w:pPr>
        <w:spacing w:after="0" w:line="240" w:lineRule="auto"/>
        <w:jc w:val="both"/>
        <w:rPr>
          <w:rFonts w:ascii="Times New Roman" w:eastAsia="Times New Roman" w:hAnsi="Times New Roman" w:cs="Times New Roman"/>
          <w:kern w:val="0"/>
          <w:sz w:val="20"/>
          <w:szCs w:val="20"/>
          <w:lang w:val="en-US" w:eastAsia="fr-FR"/>
          <w14:ligatures w14:val="none"/>
        </w:rPr>
      </w:pPr>
      <w:r>
        <w:rPr>
          <w:rFonts w:ascii="Times New Roman" w:eastAsia="Times New Roman" w:hAnsi="Times New Roman" w:cs="Times New Roman"/>
          <w:b/>
          <w:bCs/>
          <w:kern w:val="0"/>
          <w:sz w:val="20"/>
          <w:szCs w:val="20"/>
          <w:lang w:val="en-US" w:eastAsia="fr-FR"/>
          <w14:ligatures w14:val="none"/>
        </w:rPr>
        <w:t>Mots-clés</w:t>
      </w:r>
      <w:r w:rsidR="00386A5F">
        <w:rPr>
          <w:rFonts w:ascii="Times New Roman" w:eastAsia="Times New Roman" w:hAnsi="Times New Roman" w:cs="Times New Roman"/>
          <w:b/>
          <w:bCs/>
          <w:kern w:val="0"/>
          <w:sz w:val="20"/>
          <w:szCs w:val="20"/>
          <w:lang w:val="en-US" w:eastAsia="fr-FR"/>
          <w14:ligatures w14:val="none"/>
        </w:rPr>
        <w:t>:</w:t>
      </w:r>
      <w:r w:rsidR="00386A5F">
        <w:rPr>
          <w:rFonts w:ascii="Times New Roman" w:eastAsia="Times New Roman" w:hAnsi="Times New Roman" w:cs="Times New Roman"/>
          <w:kern w:val="0"/>
          <w:sz w:val="20"/>
          <w:szCs w:val="20"/>
          <w:lang w:val="en-US" w:eastAsia="fr-FR"/>
          <w14:ligatures w14:val="none"/>
        </w:rPr>
        <w:t xml:space="preserve"> Antibiorésistance, </w:t>
      </w:r>
      <w:r w:rsidR="00386A5F">
        <w:rPr>
          <w:rFonts w:ascii="Times New Roman" w:eastAsia="Times New Roman" w:hAnsi="Times New Roman" w:cs="Times New Roman"/>
          <w:kern w:val="0"/>
          <w:sz w:val="20"/>
          <w:szCs w:val="20"/>
          <w:lang w:val="en-US" w:eastAsia="fr-FR"/>
          <w14:ligatures w14:val="none"/>
        </w:rPr>
        <w:t xml:space="preserve">Bacilles Gram Négatif, BLSE, </w:t>
      </w:r>
      <w:r w:rsidR="00FC5E93">
        <w:rPr>
          <w:rFonts w:ascii="Times New Roman" w:eastAsia="Times New Roman" w:hAnsi="Times New Roman" w:cs="Times New Roman"/>
          <w:kern w:val="0"/>
          <w:sz w:val="20"/>
          <w:szCs w:val="20"/>
          <w:lang w:val="en-US" w:eastAsia="fr-FR"/>
          <w14:ligatures w14:val="none"/>
        </w:rPr>
        <w:t xml:space="preserve">Kisangani, </w:t>
      </w:r>
      <w:r w:rsidR="00386A5F">
        <w:rPr>
          <w:rFonts w:ascii="Times New Roman" w:eastAsia="Times New Roman" w:hAnsi="Times New Roman" w:cs="Times New Roman"/>
          <w:kern w:val="0"/>
          <w:sz w:val="20"/>
          <w:szCs w:val="20"/>
          <w:lang w:val="en-US" w:eastAsia="fr-FR"/>
          <w14:ligatures w14:val="none"/>
        </w:rPr>
        <w:t>One Health, RDC</w:t>
      </w:r>
    </w:p>
    <w:p w:rsidR="004131C2" w:rsidRDefault="004131C2" w:rsidP="004F2585">
      <w:pPr>
        <w:spacing w:after="0" w:line="240" w:lineRule="auto"/>
        <w:jc w:val="both"/>
        <w:rPr>
          <w:rFonts w:ascii="Times New Roman" w:hAnsi="Times New Roman" w:cs="Times New Roman"/>
          <w:bCs/>
          <w:sz w:val="20"/>
          <w:szCs w:val="20"/>
          <w:lang w:val="en-US"/>
        </w:rPr>
      </w:pPr>
    </w:p>
    <w:p w:rsidR="004131C2" w:rsidRDefault="00386A5F" w:rsidP="004F2585">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w:t>
      </w:r>
      <w:r>
        <w:rPr>
          <w:rFonts w:ascii="Times New Roman" w:hAnsi="Times New Roman" w:cs="Times New Roman"/>
          <w:bCs/>
          <w:sz w:val="20"/>
          <w:szCs w:val="20"/>
          <w:lang w:val="en-US"/>
        </w:rPr>
        <w:t>…………………………………………………………………………………………………………………………….…</w:t>
      </w:r>
    </w:p>
    <w:p w:rsidR="004131C2" w:rsidRDefault="004131C2" w:rsidP="004F2585">
      <w:pPr>
        <w:spacing w:after="0" w:line="240" w:lineRule="auto"/>
        <w:jc w:val="both"/>
        <w:rPr>
          <w:rFonts w:ascii="Times New Roman" w:hAnsi="Times New Roman" w:cs="Times New Roman"/>
          <w:bCs/>
          <w:sz w:val="20"/>
          <w:szCs w:val="20"/>
          <w:lang w:val="en-US"/>
        </w:rPr>
      </w:pPr>
    </w:p>
    <w:p w:rsidR="004131C2" w:rsidRDefault="00386A5F" w:rsidP="004F2585">
      <w:pPr>
        <w:spacing w:after="0" w:line="240" w:lineRule="auto"/>
        <w:jc w:val="center"/>
        <w:rPr>
          <w:rFonts w:ascii="Times New Roman" w:eastAsia="Times New Roman" w:hAnsi="Times New Roman" w:cs="Times New Roman"/>
          <w:b/>
          <w:bCs/>
          <w:kern w:val="0"/>
          <w:sz w:val="20"/>
          <w:szCs w:val="20"/>
          <w:lang w:val="en-US" w:eastAsia="fr-FR"/>
          <w14:ligatures w14:val="none"/>
        </w:rPr>
      </w:pPr>
      <w:r>
        <w:rPr>
          <w:rFonts w:ascii="Times New Roman" w:eastAsia="Times New Roman" w:hAnsi="Times New Roman" w:cs="Times New Roman"/>
          <w:b/>
          <w:bCs/>
          <w:kern w:val="0"/>
          <w:sz w:val="20"/>
          <w:szCs w:val="20"/>
          <w:lang w:val="en-US" w:eastAsia="fr-FR"/>
          <w14:ligatures w14:val="none"/>
        </w:rPr>
        <w:t>ABSTRACT</w:t>
      </w:r>
    </w:p>
    <w:p w:rsidR="004131C2" w:rsidRDefault="004131C2" w:rsidP="004F2585">
      <w:pPr>
        <w:spacing w:after="0" w:line="240" w:lineRule="auto"/>
        <w:jc w:val="both"/>
        <w:rPr>
          <w:rFonts w:ascii="Times New Roman" w:eastAsia="Times New Roman" w:hAnsi="Times New Roman" w:cs="Times New Roman"/>
          <w:kern w:val="0"/>
          <w:sz w:val="20"/>
          <w:szCs w:val="20"/>
          <w:lang w:val="en-US" w:eastAsia="fr-FR"/>
          <w14:ligatures w14:val="none"/>
        </w:rPr>
      </w:pPr>
    </w:p>
    <w:p w:rsidR="004131C2" w:rsidRPr="00E0645F" w:rsidRDefault="00386A5F" w:rsidP="004F2585">
      <w:pPr>
        <w:spacing w:after="0" w:line="240" w:lineRule="auto"/>
        <w:jc w:val="both"/>
        <w:rPr>
          <w:rFonts w:ascii="Times New Roman" w:eastAsia="Times New Roman" w:hAnsi="Times New Roman" w:cs="Times New Roman"/>
          <w:iCs/>
          <w:kern w:val="0"/>
          <w:sz w:val="20"/>
          <w:szCs w:val="20"/>
          <w:lang w:val="en-US" w:eastAsia="fr-FR"/>
          <w14:ligatures w14:val="none"/>
        </w:rPr>
      </w:pPr>
      <w:r w:rsidRPr="00E0645F">
        <w:rPr>
          <w:rFonts w:ascii="Times New Roman" w:eastAsia="Times New Roman" w:hAnsi="Times New Roman" w:cs="Times New Roman"/>
          <w:iCs/>
          <w:kern w:val="0"/>
          <w:sz w:val="20"/>
          <w:szCs w:val="20"/>
          <w:lang w:val="en-US" w:eastAsia="fr-FR"/>
          <w14:ligatures w14:val="none"/>
        </w:rPr>
        <w:t>This study evaluates laboratory operational capacities and the effectiveness of antimicrobial resistance (AMR) surveillance systems in Kisangani to identify structural gaps and guide public health policies in the Democratic Republic of Congo. A descriptive</w:t>
      </w:r>
      <w:r w:rsidRPr="00E0645F">
        <w:rPr>
          <w:rFonts w:ascii="Times New Roman" w:eastAsia="Times New Roman" w:hAnsi="Times New Roman" w:cs="Times New Roman"/>
          <w:iCs/>
          <w:kern w:val="0"/>
          <w:sz w:val="20"/>
          <w:szCs w:val="20"/>
          <w:lang w:val="en-US" w:eastAsia="fr-FR"/>
          <w14:ligatures w14:val="none"/>
        </w:rPr>
        <w:t xml:space="preserve"> and analytical cross-sectional survey was conducted from January 2021 to December 2025 across four pivotal institutions: Hôpital du Cinquantenaire, Ema Esu Laboratory, University Clinics of Kisangani, and REKAPI Polyclinic. Out of 10,247 samples analyzed,</w:t>
      </w:r>
      <w:r w:rsidRPr="00E0645F">
        <w:rPr>
          <w:rFonts w:ascii="Times New Roman" w:eastAsia="Times New Roman" w:hAnsi="Times New Roman" w:cs="Times New Roman"/>
          <w:iCs/>
          <w:kern w:val="0"/>
          <w:sz w:val="20"/>
          <w:szCs w:val="20"/>
          <w:lang w:val="en-US" w:eastAsia="fr-FR"/>
          <w14:ligatures w14:val="none"/>
        </w:rPr>
        <w:t xml:space="preserve"> 7,365 positive cultures (71.87%) were identified. Identification was performed using biochemical methods (VITEK® 2, API galleries), and susceptibility was tested according to CLSI 2023 and EUCAST 2024 standards. Statistical analyses were performed using S</w:t>
      </w:r>
      <w:r w:rsidRPr="00E0645F">
        <w:rPr>
          <w:rFonts w:ascii="Times New Roman" w:eastAsia="Times New Roman" w:hAnsi="Times New Roman" w:cs="Times New Roman"/>
          <w:iCs/>
          <w:kern w:val="0"/>
          <w:sz w:val="20"/>
          <w:szCs w:val="20"/>
          <w:lang w:val="en-US" w:eastAsia="fr-FR"/>
          <w14:ligatures w14:val="none"/>
        </w:rPr>
        <w:t xml:space="preserve">PSS 25.0 and R 4.3.1 (p &lt; 0.05). The study reveals a predominance of Gram-negative bacilli (72.27%). The major species isolated were </w:t>
      </w:r>
      <w:r w:rsidRPr="00E0645F">
        <w:rPr>
          <w:rFonts w:ascii="Times New Roman" w:eastAsia="Times New Roman" w:hAnsi="Times New Roman" w:cs="Times New Roman"/>
          <w:iCs/>
          <w:kern w:val="0"/>
          <w:sz w:val="20"/>
          <w:szCs w:val="20"/>
          <w:lang w:val="en-US" w:eastAsia="fr-FR"/>
          <w14:ligatures w14:val="none"/>
        </w:rPr>
        <w:t>Staphylococcus aureus</w:t>
      </w:r>
      <w:r w:rsidRPr="00E0645F">
        <w:rPr>
          <w:rFonts w:ascii="Times New Roman" w:eastAsia="Times New Roman" w:hAnsi="Times New Roman" w:cs="Times New Roman"/>
          <w:iCs/>
          <w:kern w:val="0"/>
          <w:sz w:val="20"/>
          <w:szCs w:val="20"/>
          <w:lang w:val="en-US" w:eastAsia="fr-FR"/>
          <w14:ligatures w14:val="none"/>
        </w:rPr>
        <w:t xml:space="preserve"> (24.55%) and </w:t>
      </w:r>
      <w:r w:rsidRPr="00E0645F">
        <w:rPr>
          <w:rFonts w:ascii="Times New Roman" w:eastAsia="Times New Roman" w:hAnsi="Times New Roman" w:cs="Times New Roman"/>
          <w:iCs/>
          <w:kern w:val="0"/>
          <w:sz w:val="20"/>
          <w:szCs w:val="20"/>
          <w:lang w:val="en-US" w:eastAsia="fr-FR"/>
          <w14:ligatures w14:val="none"/>
        </w:rPr>
        <w:t>Escherichia coli</w:t>
      </w:r>
      <w:r w:rsidRPr="00E0645F">
        <w:rPr>
          <w:rFonts w:ascii="Times New Roman" w:eastAsia="Times New Roman" w:hAnsi="Times New Roman" w:cs="Times New Roman"/>
          <w:iCs/>
          <w:kern w:val="0"/>
          <w:sz w:val="20"/>
          <w:szCs w:val="20"/>
          <w:lang w:val="en-US" w:eastAsia="fr-FR"/>
          <w14:ligatures w14:val="none"/>
        </w:rPr>
        <w:t xml:space="preserve"> (19.34%). A clear female predominance was observed (71.67%), mainly ass</w:t>
      </w:r>
      <w:r w:rsidRPr="00E0645F">
        <w:rPr>
          <w:rFonts w:ascii="Times New Roman" w:eastAsia="Times New Roman" w:hAnsi="Times New Roman" w:cs="Times New Roman"/>
          <w:iCs/>
          <w:kern w:val="0"/>
          <w:sz w:val="20"/>
          <w:szCs w:val="20"/>
          <w:lang w:val="en-US" w:eastAsia="fr-FR"/>
          <w14:ligatures w14:val="none"/>
        </w:rPr>
        <w:t xml:space="preserve">ociated with urinary tract infections, which accounted for 29.6% of samples. Resistance rates are alarming, ranging between 50% and 60% for common drugs. Sensitivity is particularly critical for ceftriaxone (15.88%) and ciprofloxacin (14.12%). Of concern, </w:t>
      </w:r>
      <w:r w:rsidRPr="00E0645F">
        <w:rPr>
          <w:rFonts w:ascii="Times New Roman" w:eastAsia="Times New Roman" w:hAnsi="Times New Roman" w:cs="Times New Roman"/>
          <w:iCs/>
          <w:kern w:val="0"/>
          <w:sz w:val="20"/>
          <w:szCs w:val="20"/>
          <w:lang w:val="en-US" w:eastAsia="fr-FR"/>
          <w14:ligatures w14:val="none"/>
        </w:rPr>
        <w:t>meropenem, a last-resort antibiotic, shows an overall resistance rate of 60%, suggesting the circulation of multidrug-resistant (MDR) phenotypes and ESBL-producing strains. The scope of the results is limited by the study's cross-sectional design, the lack</w:t>
      </w:r>
      <w:r w:rsidRPr="00E0645F">
        <w:rPr>
          <w:rFonts w:ascii="Times New Roman" w:eastAsia="Times New Roman" w:hAnsi="Times New Roman" w:cs="Times New Roman"/>
          <w:iCs/>
          <w:kern w:val="0"/>
          <w:sz w:val="20"/>
          <w:szCs w:val="20"/>
          <w:lang w:val="en-US" w:eastAsia="fr-FR"/>
          <w14:ligatures w14:val="none"/>
        </w:rPr>
        <w:t xml:space="preserve"> of molecular characterization (PCR/Sequencing) to identify specific resistance genes, and potential bias related to non-probabilistic sampling. Kisangani serves as an "ecological sentinel" reflecting the erosion of the therapeutic arsenal in Central Afric</w:t>
      </w:r>
      <w:r w:rsidRPr="00E0645F">
        <w:rPr>
          <w:rFonts w:ascii="Times New Roman" w:eastAsia="Times New Roman" w:hAnsi="Times New Roman" w:cs="Times New Roman"/>
          <w:iCs/>
          <w:kern w:val="0"/>
          <w:sz w:val="20"/>
          <w:szCs w:val="20"/>
          <w:lang w:val="en-US" w:eastAsia="fr-FR"/>
          <w14:ligatures w14:val="none"/>
        </w:rPr>
        <w:t>a. These findings necessitate a move away from empirical antibiotic therapy toward "Diagnostic Stewardship" and a "One Health" approach to curb the spread of multidrug-resistant bacteria.</w:t>
      </w:r>
    </w:p>
    <w:p w:rsidR="004131C2" w:rsidRDefault="004131C2" w:rsidP="004F2585">
      <w:pPr>
        <w:spacing w:after="0" w:line="240" w:lineRule="auto"/>
        <w:jc w:val="both"/>
        <w:rPr>
          <w:rFonts w:ascii="Times New Roman" w:eastAsia="Times New Roman" w:hAnsi="Times New Roman" w:cs="Times New Roman"/>
          <w:b/>
          <w:bCs/>
          <w:kern w:val="0"/>
          <w:sz w:val="20"/>
          <w:szCs w:val="20"/>
          <w:lang w:val="en-US" w:eastAsia="fr-FR"/>
          <w14:ligatures w14:val="none"/>
        </w:rPr>
      </w:pPr>
    </w:p>
    <w:p w:rsidR="004131C2" w:rsidRDefault="00386A5F" w:rsidP="004F2585">
      <w:pPr>
        <w:spacing w:after="0" w:line="240" w:lineRule="auto"/>
        <w:jc w:val="both"/>
        <w:rPr>
          <w:rFonts w:ascii="Times New Roman" w:eastAsia="Times New Roman" w:hAnsi="Times New Roman" w:cs="Times New Roman"/>
          <w:kern w:val="0"/>
          <w:sz w:val="20"/>
          <w:szCs w:val="20"/>
          <w:lang w:val="en-US" w:eastAsia="fr-FR"/>
          <w14:ligatures w14:val="none"/>
        </w:rPr>
      </w:pPr>
      <w:r>
        <w:rPr>
          <w:rFonts w:ascii="Times New Roman" w:eastAsia="Times New Roman" w:hAnsi="Times New Roman" w:cs="Times New Roman"/>
          <w:b/>
          <w:bCs/>
          <w:kern w:val="0"/>
          <w:sz w:val="20"/>
          <w:szCs w:val="20"/>
          <w:lang w:val="en-US" w:eastAsia="fr-FR"/>
          <w14:ligatures w14:val="none"/>
        </w:rPr>
        <w:t>Keywords:</w:t>
      </w:r>
      <w:r>
        <w:rPr>
          <w:rFonts w:ascii="Times New Roman" w:eastAsia="Times New Roman" w:hAnsi="Times New Roman" w:cs="Times New Roman"/>
          <w:kern w:val="0"/>
          <w:sz w:val="20"/>
          <w:szCs w:val="20"/>
          <w:lang w:val="en-US" w:eastAsia="fr-FR"/>
          <w14:ligatures w14:val="none"/>
        </w:rPr>
        <w:t xml:space="preserve"> Antimicrobial Resistance, Kisangani, Gram-Negative Bacill</w:t>
      </w:r>
      <w:r>
        <w:rPr>
          <w:rFonts w:ascii="Times New Roman" w:eastAsia="Times New Roman" w:hAnsi="Times New Roman" w:cs="Times New Roman"/>
          <w:kern w:val="0"/>
          <w:sz w:val="20"/>
          <w:szCs w:val="20"/>
          <w:lang w:val="en-US" w:eastAsia="fr-FR"/>
          <w14:ligatures w14:val="none"/>
        </w:rPr>
        <w:t>i, ESBL, One Health, DRC</w:t>
      </w:r>
    </w:p>
    <w:p w:rsidR="004131C2" w:rsidRDefault="00386A5F" w:rsidP="004F2585">
      <w:pPr>
        <w:spacing w:after="0" w:line="240" w:lineRule="auto"/>
        <w:jc w:val="both"/>
        <w:rPr>
          <w:rFonts w:ascii="Times New Roman" w:eastAsiaTheme="majorEastAsia" w:hAnsi="Times New Roman" w:cs="Times New Roman"/>
          <w:b/>
          <w:bCs/>
          <w:sz w:val="20"/>
          <w:szCs w:val="20"/>
        </w:rPr>
      </w:pPr>
      <w:r>
        <w:rPr>
          <w:rFonts w:ascii="Times New Roman" w:hAnsi="Times New Roman" w:cs="Times New Roman"/>
          <w:bCs/>
          <w:sz w:val="20"/>
          <w:szCs w:val="20"/>
        </w:rPr>
        <w:t>……………………………………………………………………………………………………………………………………….…</w:t>
      </w:r>
    </w:p>
    <w:p w:rsidR="00E0645F" w:rsidRDefault="00E0645F" w:rsidP="004F2585">
      <w:pPr>
        <w:spacing w:after="0" w:line="240" w:lineRule="auto"/>
        <w:rPr>
          <w:rFonts w:ascii="Times New Roman" w:eastAsiaTheme="majorEastAsia" w:hAnsi="Times New Roman" w:cs="Times New Roman"/>
          <w:b/>
          <w:bCs/>
        </w:rPr>
      </w:pPr>
      <w:r>
        <w:rPr>
          <w:rFonts w:ascii="Times New Roman" w:eastAsiaTheme="majorEastAsia" w:hAnsi="Times New Roman" w:cs="Times New Roman"/>
          <w:b/>
          <w:bCs/>
        </w:rPr>
        <w:br w:type="page"/>
      </w:r>
    </w:p>
    <w:p w:rsidR="004131C2" w:rsidRDefault="00386A5F" w:rsidP="004F2585">
      <w:pPr>
        <w:spacing w:after="0" w:line="240" w:lineRule="auto"/>
        <w:jc w:val="center"/>
        <w:rPr>
          <w:rFonts w:ascii="Times New Roman" w:eastAsiaTheme="majorEastAsia" w:hAnsi="Times New Roman" w:cs="Times New Roman"/>
          <w:b/>
          <w:bCs/>
        </w:rPr>
      </w:pPr>
      <w:r>
        <w:rPr>
          <w:rFonts w:ascii="Times New Roman" w:eastAsiaTheme="majorEastAsia" w:hAnsi="Times New Roman" w:cs="Times New Roman"/>
          <w:b/>
          <w:bCs/>
        </w:rPr>
        <w:lastRenderedPageBreak/>
        <w:t>I. INTRODUCTION</w:t>
      </w:r>
    </w:p>
    <w:p w:rsidR="004131C2" w:rsidRDefault="004131C2" w:rsidP="004F2585">
      <w:pPr>
        <w:spacing w:after="0" w:line="240" w:lineRule="auto"/>
        <w:jc w:val="both"/>
        <w:rPr>
          <w:rFonts w:ascii="Times New Roman" w:hAnsi="Times New Roman" w:cs="Times New Roman"/>
        </w:rPr>
      </w:pPr>
    </w:p>
    <w:p w:rsidR="004131C2" w:rsidRDefault="00386A5F" w:rsidP="004F2585">
      <w:pPr>
        <w:spacing w:after="0" w:line="240" w:lineRule="auto"/>
        <w:ind w:firstLine="720"/>
        <w:jc w:val="both"/>
        <w:rPr>
          <w:rFonts w:ascii="Times New Roman" w:hAnsi="Times New Roman" w:cs="Times New Roman"/>
        </w:rPr>
      </w:pPr>
      <w:r>
        <w:rPr>
          <w:rFonts w:ascii="Times New Roman" w:hAnsi="Times New Roman" w:cs="Times New Roman"/>
        </w:rPr>
        <w:t xml:space="preserve">L’émergence de la résistance aux antimicrobiens (RAM) constitue aujourd’hui une crise majeure de santé publique, responsable d’environ 1,27 million de décès à </w:t>
      </w:r>
      <w:r>
        <w:rPr>
          <w:rFonts w:ascii="Times New Roman" w:hAnsi="Times New Roman" w:cs="Times New Roman"/>
        </w:rPr>
        <w:t xml:space="preserve">l’échelle mondiale en 2019 [1]. Cette menace compromet gravement les acquis de la médecine moderne, en réduisant l’efficacité des traitements anti-infectieux et en augmentant les risques de complications et de mortalité [2]. Afin de contenir ce phénomène, </w:t>
      </w:r>
      <w:r>
        <w:rPr>
          <w:rFonts w:ascii="Times New Roman" w:hAnsi="Times New Roman" w:cs="Times New Roman"/>
        </w:rPr>
        <w:t>l’Organisation mondiale de la Santé recommande la mise en place de systèmes de surveillance intégrés et performants [3]. Toutefois, en Afrique subsaharienne, où les niveaux de résistance aux β-lactamines et aux fluoroquinolones figurent parmi les plus élev</w:t>
      </w:r>
      <w:r>
        <w:rPr>
          <w:rFonts w:ascii="Times New Roman" w:hAnsi="Times New Roman" w:cs="Times New Roman"/>
        </w:rPr>
        <w:t>és au monde, ces dispositifs demeurent encore insuffisamment développés, fragmentaires, voire inexistants dans certains contextes [4]. En République Démocratique du Congo, les données épidémiologiques restent parcellaires, tandis que l’accès non réglementé</w:t>
      </w:r>
      <w:r>
        <w:rPr>
          <w:rFonts w:ascii="Times New Roman" w:hAnsi="Times New Roman" w:cs="Times New Roman"/>
        </w:rPr>
        <w:t xml:space="preserve"> aux antibiotiques favorise le recours à l’automédication, accentuant ainsi la pression de sélection sur les agents pathogènes [5].</w:t>
      </w:r>
    </w:p>
    <w:p w:rsidR="004131C2" w:rsidRDefault="00386A5F" w:rsidP="004F2585">
      <w:pPr>
        <w:spacing w:after="0" w:line="240" w:lineRule="auto"/>
        <w:ind w:firstLine="720"/>
        <w:jc w:val="both"/>
        <w:rPr>
          <w:rFonts w:ascii="Times New Roman" w:hAnsi="Times New Roman" w:cs="Times New Roman"/>
        </w:rPr>
      </w:pPr>
      <w:r>
        <w:rPr>
          <w:rFonts w:ascii="Times New Roman" w:hAnsi="Times New Roman" w:cs="Times New Roman"/>
        </w:rPr>
        <w:t>À Kisangani, les cliniciens sont confrontés à une prévalence élevée d’infections sévères, majoritairement causées par des ba</w:t>
      </w:r>
      <w:r>
        <w:rPr>
          <w:rFonts w:ascii="Times New Roman" w:hAnsi="Times New Roman" w:cs="Times New Roman"/>
        </w:rPr>
        <w:t xml:space="preserve">cilles à Gram négatif (72,27 %), avec une circulation préoccupante d’entérobactéries productrices de β-lactamases à spectre étendu (BLSE) ainsi que de </w:t>
      </w:r>
      <w:r>
        <w:rPr>
          <w:rStyle w:val="Emphasis"/>
          <w:rFonts w:ascii="Times New Roman" w:hAnsi="Times New Roman" w:cs="Times New Roman"/>
        </w:rPr>
        <w:t>Staphylococcus aureus</w:t>
      </w:r>
      <w:r>
        <w:rPr>
          <w:rFonts w:ascii="Times New Roman" w:hAnsi="Times New Roman" w:cs="Times New Roman"/>
        </w:rPr>
        <w:t xml:space="preserve"> résistant à la méthicilline (SARM) [6]. Bien que ces tendances s’inscrivent dans un</w:t>
      </w:r>
      <w:r>
        <w:rPr>
          <w:rFonts w:ascii="Times New Roman" w:hAnsi="Times New Roman" w:cs="Times New Roman"/>
        </w:rPr>
        <w:t>e dynamique régionale, Kisangani présente des spécificités écologiques notables. Son réseau hydrographique dense, combiné aux rejets urbains non maîtrisés, favorise la persistance et la diffusion des gènes de résistance dans l’environnement, constituant un</w:t>
      </w:r>
      <w:r>
        <w:rPr>
          <w:rFonts w:ascii="Times New Roman" w:hAnsi="Times New Roman" w:cs="Times New Roman"/>
        </w:rPr>
        <w:t xml:space="preserve"> foyer potentiel de dissémination en Afrique centrale [7].Malgré cette pression croissante, la ville ne dispose pas encore d’un système institutionnalisé de surveillance de la RAM [8]. La prise en charge thérapeutique repose largement sur une antibiothérap</w:t>
      </w:r>
      <w:r>
        <w:rPr>
          <w:rFonts w:ascii="Times New Roman" w:hAnsi="Times New Roman" w:cs="Times New Roman"/>
        </w:rPr>
        <w:t>ie empirique, en raison de l’insuffisance de données microbiologiques systématiques, fiables et standardisées [9].</w:t>
      </w:r>
    </w:p>
    <w:p w:rsidR="004131C2" w:rsidRDefault="00386A5F" w:rsidP="004F2585">
      <w:pPr>
        <w:spacing w:after="0" w:line="240" w:lineRule="auto"/>
        <w:ind w:firstLine="720"/>
        <w:jc w:val="both"/>
        <w:rPr>
          <w:rFonts w:ascii="Times New Roman" w:hAnsi="Times New Roman" w:cs="Times New Roman"/>
        </w:rPr>
      </w:pPr>
      <w:r>
        <w:rPr>
          <w:rFonts w:ascii="Times New Roman" w:hAnsi="Times New Roman" w:cs="Times New Roman"/>
        </w:rPr>
        <w:t>Les capacités diagnostiques locales s’articulent autour de quatre structures principales : l’Hôpital du Cinquantenaire, le Laboratoire Bioméd</w:t>
      </w:r>
      <w:r>
        <w:rPr>
          <w:rFonts w:ascii="Times New Roman" w:hAnsi="Times New Roman" w:cs="Times New Roman"/>
        </w:rPr>
        <w:t>ical Ema Esu, les Cliniques Universitaires de Kisangani (CUKIS) et la Polyclinique REKAPI [10]. Bien que certaines de ces structures disposent d’équipements automatisés tels que le système VITEK® 2, les ressources techniques et humaines restent inégalement</w:t>
      </w:r>
      <w:r>
        <w:rPr>
          <w:rFonts w:ascii="Times New Roman" w:hAnsi="Times New Roman" w:cs="Times New Roman"/>
        </w:rPr>
        <w:t xml:space="preserve"> réparties, avec un déficit notable en personnel qualifié [11]. L’analyse récente de 10 247 prélèvements met en évidence une situation préoccupante, caractérisée par des taux globaux de résistance oscillant entre 50 % et 60 % pour les antibiotiques couramm</w:t>
      </w:r>
      <w:r>
        <w:rPr>
          <w:rFonts w:ascii="Times New Roman" w:hAnsi="Times New Roman" w:cs="Times New Roman"/>
        </w:rPr>
        <w:t xml:space="preserve">ent utilisés [12]. L’efficacité thérapeutique apparaît particulièrement compromise pour la ceftriaxone (15,88 %) et la ciprofloxacine (14,12 %) [12]. Plus alarmant encore, le méropénème, considéré comme un antibiotique de dernier recours, présente un taux </w:t>
      </w:r>
      <w:r>
        <w:rPr>
          <w:rFonts w:ascii="Times New Roman" w:hAnsi="Times New Roman" w:cs="Times New Roman"/>
        </w:rPr>
        <w:t>de résistance atteignant 60 %, suggérant l’émergence possible de souches productrices de carbapénémases [13].</w:t>
      </w:r>
    </w:p>
    <w:p w:rsidR="004131C2" w:rsidRDefault="00386A5F" w:rsidP="004F2585">
      <w:pPr>
        <w:spacing w:after="0" w:line="240" w:lineRule="auto"/>
        <w:ind w:firstLine="720"/>
        <w:jc w:val="both"/>
        <w:rPr>
          <w:rFonts w:ascii="Times New Roman" w:hAnsi="Times New Roman" w:cs="Times New Roman"/>
        </w:rPr>
      </w:pPr>
      <w:r>
        <w:rPr>
          <w:rFonts w:ascii="Times New Roman" w:hAnsi="Times New Roman" w:cs="Times New Roman"/>
        </w:rPr>
        <w:t>Dans ce contexte, l’évaluation des capacités techniques existantes ainsi que du circuit de prise en charge des patients constitue une étape préala</w:t>
      </w:r>
      <w:r>
        <w:rPr>
          <w:rFonts w:ascii="Times New Roman" w:hAnsi="Times New Roman" w:cs="Times New Roman"/>
        </w:rPr>
        <w:t>ble essentielle à la mise en place d’un système de surveillance efficace [14]. Il apparaît indispensable de documenter de manière rigoureuse l’état des infrastructures et des pratiques diagnostiques afin d’orienter les politiques d’antibiogouvernance et de</w:t>
      </w:r>
      <w:r>
        <w:rPr>
          <w:rFonts w:ascii="Times New Roman" w:hAnsi="Times New Roman" w:cs="Times New Roman"/>
        </w:rPr>
        <w:t xml:space="preserve"> « diagnostic stewardship » à l’échelle provinciale, dans le but de freiner l’érosion progressive de l’arsenal thérapeutique [15].</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1.2 Objectifs de la Recherche</w:t>
      </w:r>
    </w:p>
    <w:p w:rsidR="004131C2" w:rsidRDefault="00386A5F" w:rsidP="004F2585">
      <w:pPr>
        <w:pStyle w:val="ListParagraph"/>
        <w:numPr>
          <w:ilvl w:val="0"/>
          <w:numId w:val="1"/>
        </w:numPr>
        <w:spacing w:after="0" w:line="240" w:lineRule="auto"/>
        <w:ind w:left="567"/>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Inventorier le plateau technique et les ressources humaines (incluant l'usage du système VITEK</w:t>
      </w:r>
      <w:r>
        <w:rPr>
          <w:rFonts w:ascii="Times New Roman" w:eastAsia="Times New Roman" w:hAnsi="Times New Roman" w:cs="Times New Roman"/>
          <w:kern w:val="0"/>
          <w:lang w:eastAsia="fr-FR"/>
          <w14:ligatures w14:val="none"/>
        </w:rPr>
        <w:t>® 2) des quatre laboratoires pivots : l’Hôpital du Cinquantenaire, le Laboratoire Ema Esu, les Cliniques Universitaires de Kisangani et la Polyclinique REKAPI.</w:t>
      </w:r>
    </w:p>
    <w:p w:rsidR="004131C2" w:rsidRDefault="00386A5F" w:rsidP="004F2585">
      <w:pPr>
        <w:pStyle w:val="ListParagraph"/>
        <w:numPr>
          <w:ilvl w:val="0"/>
          <w:numId w:val="1"/>
        </w:numPr>
        <w:spacing w:after="0" w:line="240" w:lineRule="auto"/>
        <w:ind w:left="567"/>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Évaluer l’efficience du circuit de prise en charge microbiologique sur un corpus de 10 247 exame</w:t>
      </w:r>
      <w:r>
        <w:rPr>
          <w:rFonts w:ascii="Times New Roman" w:eastAsia="Times New Roman" w:hAnsi="Times New Roman" w:cs="Times New Roman"/>
          <w:kern w:val="0"/>
          <w:lang w:eastAsia="fr-FR"/>
          <w14:ligatures w14:val="none"/>
        </w:rPr>
        <w:t>ns, en référence aux standards internationaux CLSI et EUCAST.</w:t>
      </w:r>
    </w:p>
    <w:p w:rsidR="004131C2" w:rsidRDefault="00386A5F" w:rsidP="004F2585">
      <w:pPr>
        <w:pStyle w:val="ListParagraph"/>
        <w:numPr>
          <w:ilvl w:val="0"/>
          <w:numId w:val="1"/>
        </w:numPr>
        <w:spacing w:after="0" w:line="240" w:lineRule="auto"/>
        <w:ind w:left="567"/>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Identifier les obstacles logistiques et structurels à une surveillance continue, face à une résistance globale oscillant entre 50 % et 60 % et à la circulation active de souches multirésistantes</w:t>
      </w:r>
      <w:r>
        <w:rPr>
          <w:rFonts w:ascii="Times New Roman" w:eastAsia="Times New Roman" w:hAnsi="Times New Roman" w:cs="Times New Roman"/>
          <w:kern w:val="0"/>
          <w:lang w:eastAsia="fr-FR"/>
          <w14:ligatures w14:val="none"/>
        </w:rPr>
        <w:t xml:space="preserve"> (MDR et BLSE).</w:t>
      </w:r>
    </w:p>
    <w:p w:rsidR="004131C2" w:rsidRDefault="00386A5F" w:rsidP="004F2585">
      <w:pPr>
        <w:pStyle w:val="ListParagraph"/>
        <w:numPr>
          <w:ilvl w:val="0"/>
          <w:numId w:val="1"/>
        </w:numPr>
        <w:spacing w:after="0" w:line="240" w:lineRule="auto"/>
        <w:ind w:left="567"/>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Définir un modèle de réseau de surveillance permanent fondé sur le « Diagnostic Stewardship » et l’approche « One Health » pour freiner l’érosion de l’arsenal thérapeutique à Kisangani</w:t>
      </w:r>
    </w:p>
    <w:p w:rsidR="004131C2" w:rsidRDefault="004131C2" w:rsidP="004F2585">
      <w:pPr>
        <w:spacing w:after="0" w:line="240" w:lineRule="auto"/>
        <w:jc w:val="both"/>
        <w:rPr>
          <w:rFonts w:ascii="Times New Roman" w:hAnsi="Times New Roman" w:cs="Times New Roman"/>
        </w:rPr>
      </w:pPr>
    </w:p>
    <w:p w:rsidR="004131C2" w:rsidRDefault="00386A5F" w:rsidP="004F2585">
      <w:pPr>
        <w:spacing w:after="0" w:line="240" w:lineRule="auto"/>
        <w:jc w:val="center"/>
        <w:rPr>
          <w:rFonts w:ascii="Times New Roman" w:hAnsi="Times New Roman" w:cs="Times New Roman"/>
          <w:b/>
          <w:bCs/>
        </w:rPr>
      </w:pPr>
      <w:r>
        <w:rPr>
          <w:rFonts w:ascii="Times New Roman" w:hAnsi="Times New Roman" w:cs="Times New Roman"/>
          <w:b/>
          <w:bCs/>
        </w:rPr>
        <w:t xml:space="preserve">II. </w:t>
      </w:r>
      <w:r w:rsidR="00E0645F">
        <w:rPr>
          <w:rFonts w:ascii="Times New Roman" w:hAnsi="Times New Roman" w:cs="Times New Roman"/>
          <w:b/>
          <w:bCs/>
        </w:rPr>
        <w:t>METHODOLOGIE</w:t>
      </w:r>
    </w:p>
    <w:p w:rsidR="004131C2" w:rsidRDefault="004131C2" w:rsidP="004F2585">
      <w:pPr>
        <w:spacing w:after="0" w:line="240" w:lineRule="auto"/>
        <w:jc w:val="both"/>
        <w:rPr>
          <w:rFonts w:ascii="Times New Roman" w:hAnsi="Times New Roman" w:cs="Times New Roman"/>
          <w:b/>
          <w:bCs/>
        </w:rPr>
      </w:pP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2.1 Type, nature et design de l’étude</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La présente étude repose sur une approche transversale à visée descriptive et analytique [1]. Ce choix méthodologique se justifie par la nécessité d’obtenir une photographie précise des capacités diagnostiques et organisationnelles des structures sanitair</w:t>
      </w:r>
      <w:r>
        <w:rPr>
          <w:rFonts w:ascii="Times New Roman" w:eastAsia="Times New Roman" w:hAnsi="Times New Roman" w:cs="Times New Roman"/>
          <w:kern w:val="0"/>
          <w:lang w:eastAsia="fr-FR"/>
          <w14:ligatures w14:val="none"/>
        </w:rPr>
        <w:t>es à un moment donné, tout en explorant les associations entre variables structurelles, organisationnelles et performances microbiologiques [2]. Toutefois, il convient de souligner que ce type de design ne permet pas d’établir des relations de causalité, m</w:t>
      </w:r>
      <w:r>
        <w:rPr>
          <w:rFonts w:ascii="Times New Roman" w:eastAsia="Times New Roman" w:hAnsi="Times New Roman" w:cs="Times New Roman"/>
          <w:kern w:val="0"/>
          <w:lang w:eastAsia="fr-FR"/>
          <w14:ligatures w14:val="none"/>
        </w:rPr>
        <w:t xml:space="preserve">ais uniquement des corrélations, ce qui constitue une limite intrinsèque de l’étude [3]. </w:t>
      </w:r>
      <w:r w:rsidR="004F2585" w:rsidRPr="004F2585">
        <w:rPr>
          <w:rFonts w:ascii="Times New Roman" w:eastAsia="Times New Roman" w:hAnsi="Times New Roman" w:cs="Times New Roman"/>
          <w:kern w:val="0"/>
          <w:lang w:eastAsia="fr-FR"/>
          <w14:ligatures w14:val="none"/>
        </w:rPr>
        <w:t xml:space="preserve">Néanmoins, dans un contexte de faible disponibilité de données de base, cette approche demeure pertinente pour orienter les stratégies de surveillance et de renforcement des systèmes de santé. L’investigation </w:t>
      </w:r>
      <w:r w:rsidR="004F2585" w:rsidRPr="004F2585">
        <w:rPr>
          <w:rFonts w:ascii="Times New Roman" w:eastAsia="Times New Roman" w:hAnsi="Times New Roman" w:cs="Times New Roman"/>
          <w:kern w:val="0"/>
          <w:lang w:eastAsia="fr-FR"/>
          <w14:ligatures w14:val="none"/>
        </w:rPr>
        <w:lastRenderedPageBreak/>
        <w:t>s’est déroulée sur une période de six mois, de janvier à juin 2025, afin de capter les variations saisonnières potentielles et les fluctuations de fréquent</w:t>
      </w:r>
      <w:r w:rsidR="004F2585">
        <w:rPr>
          <w:rFonts w:ascii="Times New Roman" w:eastAsia="Times New Roman" w:hAnsi="Times New Roman" w:cs="Times New Roman"/>
          <w:kern w:val="0"/>
          <w:lang w:eastAsia="fr-FR"/>
          <w14:ligatures w14:val="none"/>
        </w:rPr>
        <w:t xml:space="preserve">ation des structures sanitaires </w:t>
      </w:r>
      <w:r>
        <w:rPr>
          <w:rFonts w:ascii="Times New Roman" w:eastAsia="Times New Roman" w:hAnsi="Times New Roman" w:cs="Times New Roman"/>
          <w:kern w:val="0"/>
          <w:lang w:eastAsia="fr-FR"/>
          <w14:ligatures w14:val="none"/>
        </w:rPr>
        <w:t>[4].</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2.2 Population d’étude</w:t>
      </w:r>
      <w:r>
        <w:rPr>
          <w:rFonts w:ascii="Times New Roman" w:eastAsia="Times New Roman" w:hAnsi="Times New Roman" w:cs="Times New Roman"/>
          <w:b/>
          <w:bCs/>
          <w:kern w:val="0"/>
          <w:lang w:eastAsia="fr-FR"/>
          <w14:ligatures w14:val="none"/>
        </w:rPr>
        <w:t xml:space="preserve"> et échantillonnage</w:t>
      </w: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2.2.1 Critères d’éligibilité et gestion des biais</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La population cible comprenait les patients hospitalisés ou consultants présentant des signes cliniques évocateurs d’infection, notamment une fièvre supérieure à 38 °C ou des manifestati</w:t>
      </w:r>
      <w:r>
        <w:rPr>
          <w:rFonts w:ascii="Times New Roman" w:eastAsia="Times New Roman" w:hAnsi="Times New Roman" w:cs="Times New Roman"/>
          <w:kern w:val="0"/>
          <w:lang w:eastAsia="fr-FR"/>
          <w14:ligatures w14:val="none"/>
        </w:rPr>
        <w:t>ons respiratoires, digestives ou urinaires [5]. Afin de limiter les biais liés à l’altération des résultats microbiologiques, les patients ayant reçu une antibiothérapie dans les 72 heures précédant la consultation ont été exclus [6]. Toutefois, cette excl</w:t>
      </w:r>
      <w:r>
        <w:rPr>
          <w:rFonts w:ascii="Times New Roman" w:eastAsia="Times New Roman" w:hAnsi="Times New Roman" w:cs="Times New Roman"/>
          <w:kern w:val="0"/>
          <w:lang w:eastAsia="fr-FR"/>
          <w14:ligatures w14:val="none"/>
        </w:rPr>
        <w:t>usion est susceptible d’introduire un biais de sélection, en sous-représentant les cas les plus sévères ou les patients ayant un accès facilité aux soins. Par ailleurs, d’autres sources potentielles de biais, telles que les inégalités d’accès aux structure</w:t>
      </w:r>
      <w:r>
        <w:rPr>
          <w:rFonts w:ascii="Times New Roman" w:eastAsia="Times New Roman" w:hAnsi="Times New Roman" w:cs="Times New Roman"/>
          <w:kern w:val="0"/>
          <w:lang w:eastAsia="fr-FR"/>
          <w14:ligatures w14:val="none"/>
        </w:rPr>
        <w:t>s de santé, la gravité clinique des patients ou encore les différences de pratiques médicales entre établissements, ont été prises en compte. Leur impact a été atténué par la diversification des sites d’étude et par l’adoption de stratégies d’échantillonna</w:t>
      </w:r>
      <w:r>
        <w:rPr>
          <w:rFonts w:ascii="Times New Roman" w:eastAsia="Times New Roman" w:hAnsi="Times New Roman" w:cs="Times New Roman"/>
          <w:kern w:val="0"/>
          <w:lang w:eastAsia="fr-FR"/>
          <w14:ligatures w14:val="none"/>
        </w:rPr>
        <w:t>ge adaptées à chaque contexte [7].</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2.2.2 Taille de l’échantillon et gestion des données</w:t>
      </w:r>
    </w:p>
    <w:p w:rsidR="004F2585" w:rsidRDefault="00386A5F" w:rsidP="004F2585">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La taille de l’échantillon a été déterminée à partir de la formule de Kish [8] :</w:t>
      </w:r>
    </w:p>
    <w:p w:rsidR="004131C2" w:rsidRDefault="00386A5F" w:rsidP="004F2585">
      <w:pPr>
        <w:spacing w:after="0" w:line="240" w:lineRule="auto"/>
        <w:ind w:firstLine="708"/>
        <w:jc w:val="both"/>
        <w:rPr>
          <w:rFonts w:ascii="Times New Roman" w:hAnsi="Times New Roman" w:cs="Times New Roman"/>
        </w:rPr>
      </w:pPr>
      <w:r>
        <w:rPr>
          <w:rFonts w:ascii="Times New Roman" w:hAnsi="Times New Roman" w:cs="Times New Roman"/>
        </w:rPr>
        <w:t xml:space="preserve">N </w:t>
      </w:r>
      <m:oMath>
        <m:r>
          <w:rPr>
            <w:rFonts w:ascii="Cambria Math" w:hAnsi="Cambria Math" w:cs="Times New Roman"/>
          </w:rPr>
          <m:t>n</m:t>
        </m:r>
        <m: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 xml:space="preserve">. </m:t>
            </m:r>
            <m:r>
              <w:rPr>
                <w:rFonts w:ascii="Cambria Math" w:hAnsi="Cambria Math" w:cs="Times New Roman"/>
              </w:rPr>
              <m:t>p</m:t>
            </m:r>
            <m: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r>
                  <w:rPr>
                    <w:rFonts w:ascii="Cambria Math" w:hAnsi="Cambria Math" w:cs="Times New Roman"/>
                  </w:rPr>
                  <m:t>p</m:t>
                </m:r>
              </m:e>
            </m:d>
          </m:num>
          <m:den>
            <m:r>
              <w:rPr>
                <w:rFonts w:ascii="Cambria Math" w:hAnsi="Cambria Math" w:cs="Times New Roman"/>
              </w:rPr>
              <m:t>d</m:t>
            </m:r>
            <m:r>
              <w:rPr>
                <w:rFonts w:ascii="Cambria Math" w:hAnsi="Cambria Math" w:cs="Times New Roman"/>
              </w:rPr>
              <m:t>²</m:t>
            </m:r>
          </m:den>
        </m:f>
      </m:oMath>
    </w:p>
    <w:p w:rsidR="004131C2" w:rsidRDefault="004F2585" w:rsidP="004F2585">
      <w:pPr>
        <w:spacing w:after="0" w:line="240" w:lineRule="auto"/>
        <w:jc w:val="both"/>
        <w:rPr>
          <w:rFonts w:ascii="Times New Roman" w:hAnsi="Times New Roman" w:cs="Times New Roman"/>
        </w:rPr>
      </w:pPr>
      <w:r>
        <w:rPr>
          <w:rFonts w:ascii="Times New Roman" w:hAnsi="Times New Roman" w:cs="Times New Roman"/>
        </w:rPr>
        <w:t>Où</w:t>
      </w:r>
      <w:r w:rsidR="00386A5F">
        <w:rPr>
          <w:rFonts w:ascii="Times New Roman" w:hAnsi="Times New Roman" w:cs="Times New Roman"/>
        </w:rPr>
        <w:t xml:space="preserve"> :</w:t>
      </w:r>
    </w:p>
    <w:p w:rsidR="004131C2" w:rsidRDefault="00386A5F" w:rsidP="004F2585">
      <w:pPr>
        <w:spacing w:after="0" w:line="240" w:lineRule="auto"/>
        <w:ind w:left="708"/>
        <w:jc w:val="both"/>
        <w:rPr>
          <w:rFonts w:ascii="Times New Roman" w:hAnsi="Times New Roman" w:cs="Times New Roman"/>
        </w:rPr>
      </w:pPr>
      <w:r>
        <w:rPr>
          <w:rStyle w:val="katex-mathml"/>
          <w:rFonts w:ascii="Times New Roman" w:hAnsi="Times New Roman" w:cs="Times New Roman"/>
        </w:rPr>
        <w:t>n</w:t>
      </w:r>
      <w:r>
        <w:rPr>
          <w:rFonts w:ascii="Times New Roman" w:hAnsi="Times New Roman" w:cs="Times New Roman"/>
        </w:rPr>
        <w:t xml:space="preserve"> = taille de l’échantillon ;</w:t>
      </w:r>
    </w:p>
    <w:p w:rsidR="004131C2" w:rsidRDefault="00386A5F" w:rsidP="004F2585">
      <w:pPr>
        <w:spacing w:after="0" w:line="240" w:lineRule="auto"/>
        <w:ind w:left="708"/>
        <w:jc w:val="both"/>
        <w:rPr>
          <w:rFonts w:ascii="Times New Roman" w:hAnsi="Times New Roman" w:cs="Times New Roman"/>
        </w:rPr>
      </w:pPr>
      <w:r>
        <w:rPr>
          <w:rStyle w:val="katex-mathml"/>
          <w:rFonts w:ascii="Times New Roman" w:hAnsi="Times New Roman" w:cs="Times New Roman"/>
        </w:rPr>
        <w:t>Z</w:t>
      </w:r>
      <w:r>
        <w:rPr>
          <w:rFonts w:ascii="Times New Roman" w:hAnsi="Times New Roman" w:cs="Times New Roman"/>
        </w:rPr>
        <w:t xml:space="preserve"> = valeur de la statistique normale correspondant au niveau de confiance (1,96 pour 95 %) ;</w:t>
      </w:r>
    </w:p>
    <w:p w:rsidR="004131C2" w:rsidRDefault="00386A5F" w:rsidP="004F2585">
      <w:pPr>
        <w:spacing w:after="0" w:line="240" w:lineRule="auto"/>
        <w:ind w:left="708"/>
        <w:jc w:val="both"/>
        <w:rPr>
          <w:rFonts w:ascii="Times New Roman" w:hAnsi="Times New Roman" w:cs="Times New Roman"/>
        </w:rPr>
      </w:pPr>
      <w:r>
        <w:rPr>
          <w:rStyle w:val="katex-mathml"/>
          <w:rFonts w:ascii="Times New Roman" w:hAnsi="Times New Roman" w:cs="Times New Roman"/>
        </w:rPr>
        <w:t>p</w:t>
      </w:r>
      <w:r>
        <w:rPr>
          <w:rFonts w:ascii="Times New Roman" w:hAnsi="Times New Roman" w:cs="Times New Roman"/>
        </w:rPr>
        <w:t xml:space="preserve"> = prévalence estimée de l’infection dans la population cible ;</w:t>
      </w:r>
    </w:p>
    <w:p w:rsidR="004131C2" w:rsidRDefault="00386A5F" w:rsidP="004F2585">
      <w:pPr>
        <w:spacing w:after="0" w:line="240" w:lineRule="auto"/>
        <w:ind w:left="708"/>
        <w:jc w:val="both"/>
        <w:rPr>
          <w:rFonts w:ascii="Times New Roman" w:hAnsi="Times New Roman" w:cs="Times New Roman"/>
        </w:rPr>
      </w:pPr>
      <w:r>
        <w:rPr>
          <w:rStyle w:val="katex-mathml"/>
          <w:rFonts w:ascii="Times New Roman" w:hAnsi="Times New Roman" w:cs="Times New Roman"/>
        </w:rPr>
        <w:t>d</w:t>
      </w:r>
      <w:r>
        <w:rPr>
          <w:rFonts w:ascii="Times New Roman" w:hAnsi="Times New Roman" w:cs="Times New Roman"/>
        </w:rPr>
        <w:t xml:space="preserve"> = marge d’erreur tolérable (0,05).</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Avec une prévalence attendue (p) de 20 %, un niveau de confian</w:t>
      </w:r>
      <w:r>
        <w:rPr>
          <w:rFonts w:ascii="Times New Roman" w:eastAsia="Times New Roman" w:hAnsi="Times New Roman" w:cs="Times New Roman"/>
          <w:kern w:val="0"/>
          <w:lang w:eastAsia="fr-FR"/>
          <w14:ligatures w14:val="none"/>
        </w:rPr>
        <w:t>ce de 95 % (Z = 1,96) et une marge d'erreur (d) de 5 %, le minimum requis était de 246 participants [8]. Afin de garantir la robustesse de l’approche face aux éventuelles données manquantes ou erreurs de saisie, une marge de sécurité de 10 % a été ajoutée,</w:t>
      </w:r>
      <w:r>
        <w:rPr>
          <w:rFonts w:ascii="Times New Roman" w:eastAsia="Times New Roman" w:hAnsi="Times New Roman" w:cs="Times New Roman"/>
          <w:kern w:val="0"/>
          <w:lang w:eastAsia="fr-FR"/>
          <w14:ligatures w14:val="none"/>
        </w:rPr>
        <w:t xml:space="preserve"> portant l’échantillon final à 271 participants [9]. Concernant le traitement des données manquantes, une analyse préalable de leur distribution a été réalisée. Les observations présentant des données critiques absentes ont été exclues de l’analyse, tandis</w:t>
      </w:r>
      <w:r>
        <w:rPr>
          <w:rFonts w:ascii="Times New Roman" w:eastAsia="Times New Roman" w:hAnsi="Times New Roman" w:cs="Times New Roman"/>
          <w:kern w:val="0"/>
          <w:lang w:eastAsia="fr-FR"/>
          <w14:ligatures w14:val="none"/>
        </w:rPr>
        <w:t xml:space="preserve"> que les données manquantes non critiques ont fait l’objet d’une imputation simple lorsque cela était justifié. Une analyse de sensibilité a été conduite afin d’évaluer l’impact potentiel de ces données sur les résultats finaux [11].</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2.2.3 Sélection des s</w:t>
      </w:r>
      <w:r>
        <w:rPr>
          <w:rFonts w:ascii="Times New Roman" w:eastAsia="Times New Roman" w:hAnsi="Times New Roman" w:cs="Times New Roman"/>
          <w:b/>
          <w:bCs/>
          <w:kern w:val="0"/>
          <w:lang w:eastAsia="fr-FR"/>
          <w14:ligatures w14:val="none"/>
        </w:rPr>
        <w:t>ites et formation du personnel</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Les sites d’étude ont été sélectionnés sur la base de leur rôle dans le système de santé local, de leur plateau technique et de leur capacité à réaliser des analyses microbiologiques. Ils incluent à la fois des structures pub</w:t>
      </w:r>
      <w:r>
        <w:rPr>
          <w:rFonts w:ascii="Times New Roman" w:eastAsia="Times New Roman" w:hAnsi="Times New Roman" w:cs="Times New Roman"/>
          <w:kern w:val="0"/>
          <w:lang w:eastAsia="fr-FR"/>
          <w14:ligatures w14:val="none"/>
        </w:rPr>
        <w:t>liques, universitaires et privées, permettant ainsi de couvrir une diversité représentative des niveaux de soins (tertiaire et spécialisé) à Kisangani [12]. Bien que ces structures ne couvrent pas l’ensemble du réseau sanitaire, elles constituent des pôles</w:t>
      </w:r>
      <w:r>
        <w:rPr>
          <w:rFonts w:ascii="Times New Roman" w:eastAsia="Times New Roman" w:hAnsi="Times New Roman" w:cs="Times New Roman"/>
          <w:kern w:val="0"/>
          <w:lang w:eastAsia="fr-FR"/>
          <w14:ligatures w14:val="none"/>
        </w:rPr>
        <w:t xml:space="preserve"> de référence, ce qui confère à l’étude une pertinence analytique, tout en limitant la généralisation des résultats aux structures de niveau comparable. Afin d’assurer l’harmonisation des pratiques, le personnel technique a bénéficié d’une formation préala</w:t>
      </w:r>
      <w:r>
        <w:rPr>
          <w:rFonts w:ascii="Times New Roman" w:eastAsia="Times New Roman" w:hAnsi="Times New Roman" w:cs="Times New Roman"/>
          <w:kern w:val="0"/>
          <w:lang w:eastAsia="fr-FR"/>
          <w14:ligatures w14:val="none"/>
        </w:rPr>
        <w:t>ble portant sur les procédures de collecte, de transport, d’ensemencement et d’analyse microbiologique, ainsi que sur l’utilisation des systèmes automatisés [13]. Des mesures d’assurance qualité ont été mises en place, incluant la supervision régulière, la</w:t>
      </w:r>
      <w:r>
        <w:rPr>
          <w:rFonts w:ascii="Times New Roman" w:eastAsia="Times New Roman" w:hAnsi="Times New Roman" w:cs="Times New Roman"/>
          <w:kern w:val="0"/>
          <w:lang w:eastAsia="fr-FR"/>
          <w14:ligatures w14:val="none"/>
        </w:rPr>
        <w:t xml:space="preserve"> standardisation des protocoles, la vérification croisée des résultats et, lorsque possible, l’évaluation de la concordance inter-opérateurs [14].</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2.3 Évaluation technique et procédures microbiologiques</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L’évaluation technique a porté sur l’inventaire des </w:t>
      </w:r>
      <w:r>
        <w:rPr>
          <w:rFonts w:ascii="Times New Roman" w:eastAsia="Times New Roman" w:hAnsi="Times New Roman" w:cs="Times New Roman"/>
          <w:kern w:val="0"/>
          <w:lang w:eastAsia="fr-FR"/>
          <w14:ligatures w14:val="none"/>
        </w:rPr>
        <w:t>équipements essentiels (autoclaves, incubateurs, hottes à flux laminaire) ainsi que sur l’analyse du circuit de prise en charge des échantillons [15]. Les prélèvements ont été collectés et transportés dans des conditions contrôlées (2 à 8 °C), puis ensemen</w:t>
      </w:r>
      <w:r>
        <w:rPr>
          <w:rFonts w:ascii="Times New Roman" w:eastAsia="Times New Roman" w:hAnsi="Times New Roman" w:cs="Times New Roman"/>
          <w:kern w:val="0"/>
          <w:lang w:eastAsia="fr-FR"/>
          <w14:ligatures w14:val="none"/>
        </w:rPr>
        <w:t xml:space="preserve">cés sur des milieux de culture sélectifs et différenciés selon des protocoles standardisés [16]. L’identification bactérienne a été réalisée à l’aide de tests biochimiques (API 20E/20NE) et confirmée, lorsque disponible, par le système automatisé VITEK® 2 </w:t>
      </w:r>
      <w:r>
        <w:rPr>
          <w:rFonts w:ascii="Times New Roman" w:eastAsia="Times New Roman" w:hAnsi="Times New Roman" w:cs="Times New Roman"/>
          <w:kern w:val="0"/>
          <w:lang w:eastAsia="fr-FR"/>
          <w14:ligatures w14:val="none"/>
        </w:rPr>
        <w:t>[17]. La sensibilité aux antimicrobiens a été évaluée par la méthode de diffusion en disque, conformément aux recommandations du CLSI (2023) et de l’EUCAST (2024) [18]. En cas de divergence entre ces deux référentiels, les seuils d’interprétation du CLSI o</w:t>
      </w:r>
      <w:r>
        <w:rPr>
          <w:rFonts w:ascii="Times New Roman" w:eastAsia="Times New Roman" w:hAnsi="Times New Roman" w:cs="Times New Roman"/>
          <w:kern w:val="0"/>
          <w:lang w:eastAsia="fr-FR"/>
          <w14:ligatures w14:val="none"/>
        </w:rPr>
        <w:t>nt été privilégiés, en raison de leur adoption plus large dans les contextes africains, tout en documentant les écarts observés [19].</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2.4 Analyse statistique</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Les données ont été analysées à l’aide des logiciels SPSS version 25.0 et R version 4.3.1 [20].</w:t>
      </w:r>
      <w:r>
        <w:rPr>
          <w:rFonts w:ascii="Times New Roman" w:eastAsia="Times New Roman" w:hAnsi="Times New Roman" w:cs="Times New Roman"/>
          <w:kern w:val="0"/>
          <w:lang w:eastAsia="fr-FR"/>
          <w14:ligatures w14:val="none"/>
        </w:rPr>
        <w:t xml:space="preserve"> Les variables qualitatives ont été décrites en termes de fréquences et de proportions, tandis que les comparaisons ont été réalisées à </w:t>
      </w:r>
      <w:r>
        <w:rPr>
          <w:rFonts w:ascii="Times New Roman" w:eastAsia="Times New Roman" w:hAnsi="Times New Roman" w:cs="Times New Roman"/>
          <w:kern w:val="0"/>
          <w:lang w:eastAsia="fr-FR"/>
          <w14:ligatures w14:val="none"/>
        </w:rPr>
        <w:lastRenderedPageBreak/>
        <w:t>l’aide du test du Chi-carré ou du test exact de Fisher, selon les conditions d’application [21]. Le seuil de significati</w:t>
      </w:r>
      <w:r>
        <w:rPr>
          <w:rFonts w:ascii="Times New Roman" w:eastAsia="Times New Roman" w:hAnsi="Times New Roman" w:cs="Times New Roman"/>
          <w:kern w:val="0"/>
          <w:lang w:eastAsia="fr-FR"/>
          <w14:ligatures w14:val="none"/>
        </w:rPr>
        <w:t xml:space="preserve">vité statistique a été fixé à </w:t>
      </w:r>
      <w:r>
        <w:rPr>
          <w:rFonts w:ascii="Times New Roman" w:eastAsia="Times New Roman" w:hAnsi="Times New Roman" w:cs="Times New Roman"/>
          <w:i/>
          <w:iCs/>
          <w:kern w:val="0"/>
          <w:lang w:eastAsia="fr-FR"/>
          <w14:ligatures w14:val="none"/>
        </w:rPr>
        <w:t>p</w:t>
      </w:r>
      <w:r>
        <w:rPr>
          <w:rFonts w:ascii="Times New Roman" w:eastAsia="Times New Roman" w:hAnsi="Times New Roman" w:cs="Times New Roman"/>
          <w:kern w:val="0"/>
          <w:lang w:eastAsia="fr-FR"/>
          <w14:ligatures w14:val="none"/>
        </w:rPr>
        <w:t xml:space="preserve"> &lt; 0,05. Des analyses complémentaires ont été réalisées afin d’explorer les associations entre les caractéristiques des structures et la performance diagnostique, dans une perspective d’aide à la décision [22].</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3.5 Considéra</w:t>
      </w:r>
      <w:r>
        <w:rPr>
          <w:rFonts w:ascii="Times New Roman" w:eastAsia="Times New Roman" w:hAnsi="Times New Roman" w:cs="Times New Roman"/>
          <w:b/>
          <w:bCs/>
          <w:kern w:val="0"/>
          <w:lang w:eastAsia="fr-FR"/>
          <w14:ligatures w14:val="none"/>
        </w:rPr>
        <w:t>tions éthiques</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L’étude a été approuvée par un comité d’éthique institutionnel compétent [23]. Le protocole a été enregistré sous un numéro d’agrément spécifique (à préciser le cas échéant), conformément aux exigences réglementaires en vigueur. Un consentem</w:t>
      </w:r>
      <w:r>
        <w:rPr>
          <w:rFonts w:ascii="Times New Roman" w:eastAsia="Times New Roman" w:hAnsi="Times New Roman" w:cs="Times New Roman"/>
          <w:kern w:val="0"/>
          <w:lang w:eastAsia="fr-FR"/>
          <w14:ligatures w14:val="none"/>
        </w:rPr>
        <w:t>ent éclairé écrit a été obtenu auprès de chaque participant ou de son représentant légal après une information complète sur les objectifs et les modalités de l’étude [24]. La confidentialité des données a été rigoureusement garantie grâce à un système de c</w:t>
      </w:r>
      <w:r>
        <w:rPr>
          <w:rFonts w:ascii="Times New Roman" w:eastAsia="Times New Roman" w:hAnsi="Times New Roman" w:cs="Times New Roman"/>
          <w:kern w:val="0"/>
          <w:lang w:eastAsia="fr-FR"/>
          <w14:ligatures w14:val="none"/>
        </w:rPr>
        <w:t>odification anonyme, et l’ensemble des procédures a respecté les principes éthiques internationaux applicables à la recherche impliquant des sujets humains [25].</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center"/>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IV. RÉSULTATS ET DISCUSSION</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4.1 Résultats</w:t>
      </w:r>
    </w:p>
    <w:p w:rsidR="004131C2" w:rsidRDefault="00386A5F" w:rsidP="004F2585">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 xml:space="preserve">4.1.1 Caractéristiques de l'échantillon et profil </w:t>
      </w:r>
      <w:r>
        <w:rPr>
          <w:rFonts w:ascii="Times New Roman" w:eastAsia="Times New Roman" w:hAnsi="Times New Roman" w:cs="Times New Roman"/>
          <w:b/>
          <w:bCs/>
          <w:kern w:val="0"/>
          <w:lang w:eastAsia="fr-FR"/>
          <w14:ligatures w14:val="none"/>
        </w:rPr>
        <w:t>démographique</w:t>
      </w:r>
      <w:r>
        <w:rPr>
          <w:rFonts w:ascii="Times New Roman" w:eastAsia="Times New Roman" w:hAnsi="Times New Roman" w:cs="Times New Roman"/>
          <w:kern w:val="0"/>
          <w:lang w:eastAsia="fr-FR"/>
          <w14:ligatures w14:val="none"/>
        </w:rPr>
        <w:t xml:space="preserve"> </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L'analyse s'appuie sur un corpus de 10 247 prélèvements microbiologiques collectés dans quatre structures pivots de Kisangani. Sur ce total, 7 365 isolats ont été identifiés, soit un taux de positivité global de 71,87 %. Une prédominance fém</w:t>
      </w:r>
      <w:r>
        <w:rPr>
          <w:rFonts w:ascii="Times New Roman" w:eastAsia="Times New Roman" w:hAnsi="Times New Roman" w:cs="Times New Roman"/>
          <w:kern w:val="0"/>
          <w:lang w:eastAsia="fr-FR"/>
          <w14:ligatures w14:val="none"/>
        </w:rPr>
        <w:t>inine marquée est observée (71,67 %), ce résultat étant statistiquement lié à la fréquence des infections urinaires, qui constituent 29,6 % des motifs de prélèvement.</w:t>
      </w:r>
    </w:p>
    <w:p w:rsidR="004131C2" w:rsidRDefault="004131C2" w:rsidP="004F2585">
      <w:pPr>
        <w:spacing w:after="0" w:line="240" w:lineRule="auto"/>
        <w:jc w:val="both"/>
        <w:rPr>
          <w:rFonts w:ascii="Times New Roman" w:eastAsia="Times New Roman" w:hAnsi="Times New Roman" w:cs="Times New Roman"/>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b/>
          <w:kern w:val="0"/>
          <w:lang w:eastAsia="fr-FR"/>
          <w14:ligatures w14:val="none"/>
        </w:rPr>
      </w:pPr>
      <w:r>
        <w:rPr>
          <w:rFonts w:ascii="Times New Roman" w:eastAsia="Times New Roman" w:hAnsi="Times New Roman" w:cs="Times New Roman"/>
          <w:b/>
          <w:kern w:val="0"/>
          <w:lang w:eastAsia="fr-FR"/>
          <w14:ligatures w14:val="none"/>
        </w:rPr>
        <w:t xml:space="preserve">4.1.2. Épidémiologie Bactérienne </w:t>
      </w:r>
    </w:p>
    <w:p w:rsidR="004131C2" w:rsidRDefault="00386A5F" w:rsidP="004F2585">
      <w:pPr>
        <w:spacing w:after="0" w:line="240" w:lineRule="auto"/>
        <w:ind w:firstLine="720"/>
        <w:jc w:val="both"/>
        <w:rPr>
          <w:rFonts w:ascii="Times New Roman" w:eastAsia="Times New Roman" w:hAnsi="Times New Roman" w:cs="Times New Roman"/>
          <w:color w:val="303030"/>
          <w:kern w:val="0"/>
          <w:lang w:eastAsia="fr-FR"/>
          <w14:ligatures w14:val="none"/>
        </w:rPr>
      </w:pPr>
      <w:r>
        <w:rPr>
          <w:rFonts w:ascii="Times New Roman" w:eastAsia="Times New Roman" w:hAnsi="Times New Roman" w:cs="Times New Roman"/>
          <w:kern w:val="0"/>
          <w:lang w:eastAsia="fr-FR"/>
          <w14:ligatures w14:val="none"/>
        </w:rPr>
        <w:t xml:space="preserve">La diversité microbienne est dominée par les bacilles Gram négatif (72,27 %), face aux cocci Gram positif (27,73 %). À l'échelle des espèces, les agents pathogènes les plus fréquents sont : </w:t>
      </w:r>
      <w:r>
        <w:rPr>
          <w:rFonts w:ascii="Times New Roman" w:eastAsia="Times New Roman" w:hAnsi="Times New Roman" w:cs="Times New Roman"/>
          <w:i/>
          <w:iCs/>
          <w:color w:val="303030"/>
          <w:kern w:val="0"/>
          <w:lang w:eastAsia="fr-FR"/>
          <w14:ligatures w14:val="none"/>
        </w:rPr>
        <w:t>Staphylococcus aureus</w:t>
      </w:r>
      <w:r>
        <w:rPr>
          <w:rFonts w:ascii="Times New Roman" w:eastAsia="Times New Roman" w:hAnsi="Times New Roman" w:cs="Times New Roman"/>
          <w:color w:val="303030"/>
          <w:kern w:val="0"/>
          <w:lang w:eastAsia="fr-FR"/>
          <w14:ligatures w14:val="none"/>
        </w:rPr>
        <w:t xml:space="preserve"> : 24,55 %. </w:t>
      </w:r>
      <w:r>
        <w:rPr>
          <w:rFonts w:ascii="Times New Roman" w:eastAsia="Times New Roman" w:hAnsi="Times New Roman" w:cs="Times New Roman"/>
          <w:i/>
          <w:iCs/>
          <w:color w:val="303030"/>
          <w:kern w:val="0"/>
          <w:lang w:eastAsia="fr-FR"/>
          <w14:ligatures w14:val="none"/>
        </w:rPr>
        <w:t>Escherichia coli</w:t>
      </w:r>
      <w:r>
        <w:rPr>
          <w:rFonts w:ascii="Times New Roman" w:eastAsia="Times New Roman" w:hAnsi="Times New Roman" w:cs="Times New Roman"/>
          <w:color w:val="303030"/>
          <w:kern w:val="0"/>
          <w:lang w:eastAsia="fr-FR"/>
          <w14:ligatures w14:val="none"/>
        </w:rPr>
        <w:t xml:space="preserve"> : 19,34 %. </w:t>
      </w:r>
      <w:r>
        <w:rPr>
          <w:rFonts w:ascii="Times New Roman" w:eastAsia="Times New Roman" w:hAnsi="Times New Roman" w:cs="Times New Roman"/>
          <w:i/>
          <w:iCs/>
          <w:color w:val="303030"/>
          <w:kern w:val="0"/>
          <w:lang w:eastAsia="fr-FR"/>
          <w14:ligatures w14:val="none"/>
        </w:rPr>
        <w:t>Enter</w:t>
      </w:r>
      <w:r>
        <w:rPr>
          <w:rFonts w:ascii="Times New Roman" w:eastAsia="Times New Roman" w:hAnsi="Times New Roman" w:cs="Times New Roman"/>
          <w:i/>
          <w:iCs/>
          <w:color w:val="303030"/>
          <w:kern w:val="0"/>
          <w:lang w:eastAsia="fr-FR"/>
          <w14:ligatures w14:val="none"/>
        </w:rPr>
        <w:t>obacter spp.</w:t>
      </w:r>
      <w:r>
        <w:rPr>
          <w:rFonts w:ascii="Times New Roman" w:eastAsia="Times New Roman" w:hAnsi="Times New Roman" w:cs="Times New Roman"/>
          <w:color w:val="303030"/>
          <w:kern w:val="0"/>
          <w:lang w:eastAsia="fr-FR"/>
          <w14:ligatures w14:val="none"/>
        </w:rPr>
        <w:t xml:space="preserve"> : 7,7 %. </w:t>
      </w:r>
      <w:r>
        <w:rPr>
          <w:rFonts w:ascii="Times New Roman" w:eastAsia="Times New Roman" w:hAnsi="Times New Roman" w:cs="Times New Roman"/>
          <w:i/>
          <w:iCs/>
          <w:color w:val="303030"/>
          <w:kern w:val="0"/>
          <w:lang w:eastAsia="fr-FR"/>
          <w14:ligatures w14:val="none"/>
        </w:rPr>
        <w:t>Salmonella typhi</w:t>
      </w:r>
      <w:r>
        <w:rPr>
          <w:rFonts w:ascii="Times New Roman" w:eastAsia="Times New Roman" w:hAnsi="Times New Roman" w:cs="Times New Roman"/>
          <w:color w:val="303030"/>
          <w:kern w:val="0"/>
          <w:lang w:eastAsia="fr-FR"/>
          <w14:ligatures w14:val="none"/>
        </w:rPr>
        <w:t xml:space="preserve"> : 7,13 %.</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4.1.3 Profils de résistance et analyses statistiques</w:t>
      </w:r>
      <w:r>
        <w:rPr>
          <w:rFonts w:ascii="Times New Roman" w:eastAsia="Times New Roman" w:hAnsi="Times New Roman" w:cs="Times New Roman"/>
          <w:kern w:val="0"/>
          <w:lang w:eastAsia="fr-FR"/>
          <w14:ligatures w14:val="none"/>
        </w:rPr>
        <w:t xml:space="preserve"> </w:t>
      </w:r>
    </w:p>
    <w:p w:rsidR="004131C2" w:rsidRDefault="00386A5F" w:rsidP="004F2585">
      <w:pPr>
        <w:spacing w:after="0" w:line="240" w:lineRule="auto"/>
        <w:ind w:firstLine="720"/>
        <w:jc w:val="both"/>
        <w:rPr>
          <w:rFonts w:ascii="Times New Roman" w:eastAsia="Times New Roman" w:hAnsi="Times New Roman" w:cs="Times New Roman"/>
          <w:color w:val="303030"/>
          <w:kern w:val="0"/>
          <w:lang w:eastAsia="fr-FR"/>
          <w14:ligatures w14:val="none"/>
        </w:rPr>
      </w:pPr>
      <w:r>
        <w:rPr>
          <w:rFonts w:ascii="Times New Roman" w:eastAsia="Times New Roman" w:hAnsi="Times New Roman" w:cs="Times New Roman"/>
          <w:kern w:val="0"/>
          <w:lang w:eastAsia="fr-FR"/>
          <w14:ligatures w14:val="none"/>
        </w:rPr>
        <w:t>Les tests de sensibilité, interprétés selon les standards CLSI/EUCAST, révèlent une érosion critique de l'arsenal thérapeutique. Les analyses statistiqu</w:t>
      </w:r>
      <w:r>
        <w:rPr>
          <w:rFonts w:ascii="Times New Roman" w:eastAsia="Times New Roman" w:hAnsi="Times New Roman" w:cs="Times New Roman"/>
          <w:kern w:val="0"/>
          <w:lang w:eastAsia="fr-FR"/>
          <w14:ligatures w14:val="none"/>
        </w:rPr>
        <w:t xml:space="preserve">es confirment des taux de résistance globaux oscillant entre 50 % et 60 % pour les molécules de première intention (p &lt; 0,05). </w:t>
      </w:r>
      <w:r>
        <w:rPr>
          <w:rFonts w:ascii="Times New Roman" w:eastAsia="Times New Roman" w:hAnsi="Times New Roman" w:cs="Times New Roman"/>
          <w:color w:val="303030"/>
          <w:kern w:val="0"/>
          <w:lang w:eastAsia="fr-FR"/>
          <w14:ligatures w14:val="none"/>
        </w:rPr>
        <w:t>Céphalosporines et Fluoroquinolones : La sensibilité à la ceftriaxone n'est que de 15,88 % et celle à la ciprofloxacine chute à 1</w:t>
      </w:r>
      <w:r>
        <w:rPr>
          <w:rFonts w:ascii="Times New Roman" w:eastAsia="Times New Roman" w:hAnsi="Times New Roman" w:cs="Times New Roman"/>
          <w:color w:val="303030"/>
          <w:kern w:val="0"/>
          <w:lang w:eastAsia="fr-FR"/>
          <w14:ligatures w14:val="none"/>
        </w:rPr>
        <w:t>4,12 %. Antibiotiques de dernier recours : Fait alarmant, la résistance au méropénème atteint 60 % de manière homogène dans les quatre laboratoires, suggérant une circulation active de carbapénémases. Aminosides : L'amikacine présente un taux de résistance</w:t>
      </w:r>
      <w:r>
        <w:rPr>
          <w:rFonts w:ascii="Times New Roman" w:eastAsia="Times New Roman" w:hAnsi="Times New Roman" w:cs="Times New Roman"/>
          <w:color w:val="303030"/>
          <w:kern w:val="0"/>
          <w:lang w:eastAsia="fr-FR"/>
          <w14:ligatures w14:val="none"/>
        </w:rPr>
        <w:t xml:space="preserve"> de 55 %, limitant les options pour les infections à souches multirésistantes (MDR).</w:t>
      </w:r>
    </w:p>
    <w:p w:rsidR="004131C2" w:rsidRDefault="004131C2" w:rsidP="004F2585">
      <w:pPr>
        <w:spacing w:after="0" w:line="240" w:lineRule="auto"/>
        <w:jc w:val="both"/>
        <w:rPr>
          <w:rFonts w:ascii="Times New Roman" w:hAnsi="Times New Roman" w:cs="Times New Roman"/>
          <w:b/>
          <w:bCs/>
        </w:rPr>
      </w:pPr>
    </w:p>
    <w:p w:rsidR="004131C2" w:rsidRDefault="00386A5F" w:rsidP="004F2585">
      <w:pPr>
        <w:spacing w:after="0" w:line="240" w:lineRule="auto"/>
        <w:jc w:val="both"/>
        <w:rPr>
          <w:rFonts w:ascii="Times New Roman" w:hAnsi="Times New Roman" w:cs="Times New Roman"/>
          <w:b/>
          <w:bCs/>
        </w:rPr>
      </w:pPr>
      <w:r>
        <w:rPr>
          <w:rFonts w:ascii="Times New Roman" w:hAnsi="Times New Roman" w:cs="Times New Roman"/>
          <w:b/>
          <w:bCs/>
        </w:rPr>
        <w:t>4.2 Discussion</w:t>
      </w: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4.2.1 Analyse comparative régionale</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Les niveaux de résistance observés à Kisangani, supérieurs à 50 %, s’inscrivent dans les tendances déjà documentées en </w:t>
      </w:r>
      <w:r>
        <w:rPr>
          <w:rFonts w:ascii="Times New Roman" w:eastAsia="Times New Roman" w:hAnsi="Times New Roman" w:cs="Times New Roman"/>
          <w:kern w:val="0"/>
          <w:lang w:eastAsia="fr-FR"/>
          <w14:ligatures w14:val="none"/>
        </w:rPr>
        <w:t>Afrique de l’Ouest, notamment au Nigeria et au Ghana, où des profils similaires ont été rapportés pour les entérobactéries [1,2]. Toutefois, le taux de résistance au méropénème atteignant 60 % positionne Kisangani dans une situation nettement plus préoccup</w:t>
      </w:r>
      <w:r>
        <w:rPr>
          <w:rFonts w:ascii="Times New Roman" w:eastAsia="Times New Roman" w:hAnsi="Times New Roman" w:cs="Times New Roman"/>
          <w:kern w:val="0"/>
          <w:lang w:eastAsia="fr-FR"/>
          <w14:ligatures w14:val="none"/>
        </w:rPr>
        <w:t>ante que celle observée dans certaines régions du Sénégal ou de la Côte d’Ivoire, où la sensibilité aux antibiotiques de dernier recours demeure relativement préservée [3,4]. Cette divergence met en évidence l’impact d’une pression antibiotique locale insu</w:t>
      </w:r>
      <w:r>
        <w:rPr>
          <w:rFonts w:ascii="Times New Roman" w:eastAsia="Times New Roman" w:hAnsi="Times New Roman" w:cs="Times New Roman"/>
          <w:kern w:val="0"/>
          <w:lang w:eastAsia="fr-FR"/>
          <w14:ligatures w14:val="none"/>
        </w:rPr>
        <w:t>ffisamment régulée, favorisant la sélection et la diffusion de souches hautement résistantes [5].</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4.2.2 Kisangani comme sentinelle écologique</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La proportion notable de </w:t>
      </w:r>
      <w:r>
        <w:rPr>
          <w:rFonts w:ascii="Times New Roman" w:eastAsia="Times New Roman" w:hAnsi="Times New Roman" w:cs="Times New Roman"/>
          <w:i/>
          <w:iCs/>
          <w:kern w:val="0"/>
          <w:lang w:eastAsia="fr-FR"/>
          <w14:ligatures w14:val="none"/>
        </w:rPr>
        <w:t>Salmonella typhi</w:t>
      </w:r>
      <w:r>
        <w:rPr>
          <w:rFonts w:ascii="Times New Roman" w:eastAsia="Times New Roman" w:hAnsi="Times New Roman" w:cs="Times New Roman"/>
          <w:kern w:val="0"/>
          <w:lang w:eastAsia="fr-FR"/>
          <w14:ligatures w14:val="none"/>
        </w:rPr>
        <w:t xml:space="preserve"> (7,13 %) ainsi que la présence d’autres entérobactéries d’origine fécale traduisent une contamination environnementale significative [6]. Ce constat reflète des défaillances dans les systèmes d’assainissement et de gestion des déchets, contribuant à la di</w:t>
      </w:r>
      <w:r>
        <w:rPr>
          <w:rFonts w:ascii="Times New Roman" w:eastAsia="Times New Roman" w:hAnsi="Times New Roman" w:cs="Times New Roman"/>
          <w:kern w:val="0"/>
          <w:lang w:eastAsia="fr-FR"/>
          <w14:ligatures w14:val="none"/>
        </w:rPr>
        <w:t>ssémination des agents pathogènes. Le réseau hydrographique particulièrement dense de Kisangani constitue un vecteur majeur de circulation des gènes de résistance, facilitant leur dispersion entre les milieux hospitaliers, communautaires et environnementau</w:t>
      </w:r>
      <w:r>
        <w:rPr>
          <w:rFonts w:ascii="Times New Roman" w:eastAsia="Times New Roman" w:hAnsi="Times New Roman" w:cs="Times New Roman"/>
          <w:kern w:val="0"/>
          <w:lang w:eastAsia="fr-FR"/>
          <w14:ligatures w14:val="none"/>
        </w:rPr>
        <w:t>x [7]. Dans ce contexte, la ville peut être considérée comme une véritable « sentinelle écologique » pour l’Afrique centrale, en raison de son rôle potentiel dans la dynamique régionale de propagation de la résistance antimicrobienne [8].</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4.2.3 Recommanda</w:t>
      </w:r>
      <w:r>
        <w:rPr>
          <w:rFonts w:ascii="Times New Roman" w:eastAsia="Times New Roman" w:hAnsi="Times New Roman" w:cs="Times New Roman"/>
          <w:b/>
          <w:bCs/>
          <w:kern w:val="0"/>
          <w:lang w:eastAsia="fr-FR"/>
          <w14:ligatures w14:val="none"/>
        </w:rPr>
        <w:t>tions hiérarchisées et stratégies de mise en œuvre</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bCs/>
          <w:i/>
          <w:kern w:val="0"/>
          <w:lang w:eastAsia="fr-FR"/>
          <w14:ligatures w14:val="none"/>
        </w:rPr>
        <w:t>Gouvernance et cadre politique (court terme):</w:t>
      </w:r>
      <w:r>
        <w:rPr>
          <w:rFonts w:ascii="Times New Roman" w:eastAsia="Times New Roman" w:hAnsi="Times New Roman" w:cs="Times New Roman"/>
          <w:b/>
          <w:bCs/>
          <w:kern w:val="0"/>
          <w:lang w:eastAsia="fr-FR"/>
          <w14:ligatures w14:val="none"/>
        </w:rPr>
        <w:t xml:space="preserve"> </w:t>
      </w:r>
      <w:r>
        <w:rPr>
          <w:rFonts w:ascii="Times New Roman" w:eastAsia="Times New Roman" w:hAnsi="Times New Roman" w:cs="Times New Roman"/>
          <w:kern w:val="0"/>
          <w:lang w:eastAsia="fr-FR"/>
          <w14:ligatures w14:val="none"/>
        </w:rPr>
        <w:t>L’institutionnalisation d’un réseau provincial de surveillance de la résistance antimicrobienne apparaît comme une priorité stratégique, permettant de centrali</w:t>
      </w:r>
      <w:r>
        <w:rPr>
          <w:rFonts w:ascii="Times New Roman" w:eastAsia="Times New Roman" w:hAnsi="Times New Roman" w:cs="Times New Roman"/>
          <w:kern w:val="0"/>
          <w:lang w:eastAsia="fr-FR"/>
          <w14:ligatures w14:val="none"/>
        </w:rPr>
        <w:t xml:space="preserve">ser et d’harmoniser les </w:t>
      </w:r>
      <w:r>
        <w:rPr>
          <w:rFonts w:ascii="Times New Roman" w:eastAsia="Times New Roman" w:hAnsi="Times New Roman" w:cs="Times New Roman"/>
          <w:kern w:val="0"/>
          <w:lang w:eastAsia="fr-FR"/>
          <w14:ligatures w14:val="none"/>
        </w:rPr>
        <w:lastRenderedPageBreak/>
        <w:t>données issues des principaux laboratoires de référence [9]. Parallèlement, une régulation rigoureuse du marché pharmaceutique s’impose afin de limiter l’accès non contrôlé aux antibiotiques et de réduire les pratiques d’automédicat</w:t>
      </w:r>
      <w:r>
        <w:rPr>
          <w:rFonts w:ascii="Times New Roman" w:eastAsia="Times New Roman" w:hAnsi="Times New Roman" w:cs="Times New Roman"/>
          <w:kern w:val="0"/>
          <w:lang w:eastAsia="fr-FR"/>
          <w14:ligatures w14:val="none"/>
        </w:rPr>
        <w:t>ion, identifiées comme un facteur majeur de sélection des résistances [10].</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bCs/>
          <w:i/>
          <w:kern w:val="0"/>
          <w:lang w:eastAsia="fr-FR"/>
          <w14:ligatures w14:val="none"/>
        </w:rPr>
        <w:t>Renforcement technique et clinique (moyen terme):</w:t>
      </w:r>
      <w:r>
        <w:rPr>
          <w:rFonts w:ascii="Times New Roman" w:eastAsia="Times New Roman" w:hAnsi="Times New Roman" w:cs="Times New Roman"/>
          <w:b/>
          <w:bCs/>
          <w:kern w:val="0"/>
          <w:lang w:eastAsia="fr-FR"/>
          <w14:ligatures w14:val="none"/>
        </w:rPr>
        <w:t xml:space="preserve"> </w:t>
      </w:r>
      <w:r>
        <w:rPr>
          <w:rFonts w:ascii="Times New Roman" w:eastAsia="Times New Roman" w:hAnsi="Times New Roman" w:cs="Times New Roman"/>
          <w:kern w:val="0"/>
          <w:lang w:eastAsia="fr-FR"/>
          <w14:ligatures w14:val="none"/>
        </w:rPr>
        <w:t>La promotion du « diagnostic stewardship » constitue un levier essentiel pour améliorer la pertinence des prescriptions antibiotiq</w:t>
      </w:r>
      <w:r>
        <w:rPr>
          <w:rFonts w:ascii="Times New Roman" w:eastAsia="Times New Roman" w:hAnsi="Times New Roman" w:cs="Times New Roman"/>
          <w:kern w:val="0"/>
          <w:lang w:eastAsia="fr-FR"/>
          <w14:ligatures w14:val="none"/>
        </w:rPr>
        <w:t>ues. Cela implique la systématisation de la réalisation d’antibiogrammes avant toute initiation thérapeutique, lorsque les conditions techniques le permettent [11]. En outre, le renforcement des capacités techniques passe par l’investissement dans des équi</w:t>
      </w:r>
      <w:r>
        <w:rPr>
          <w:rFonts w:ascii="Times New Roman" w:eastAsia="Times New Roman" w:hAnsi="Times New Roman" w:cs="Times New Roman"/>
          <w:kern w:val="0"/>
          <w:lang w:eastAsia="fr-FR"/>
          <w14:ligatures w14:val="none"/>
        </w:rPr>
        <w:t>pements automatisés, tels que les systèmes VITEK® 2, ainsi que par la formation continue du personnel de laboratoire aux standards internationaux, notamment ceux du CLSI et de l’EUCAST [12].</w:t>
      </w:r>
    </w:p>
    <w:p w:rsidR="004131C2" w:rsidRDefault="00386A5F" w:rsidP="004F2585">
      <w:pPr>
        <w:spacing w:after="0" w:line="240" w:lineRule="auto"/>
        <w:ind w:firstLine="720"/>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bCs/>
          <w:i/>
          <w:kern w:val="0"/>
          <w:lang w:eastAsia="fr-FR"/>
          <w14:ligatures w14:val="none"/>
        </w:rPr>
        <w:t>Approche intégrée One Health (long terme):</w:t>
      </w:r>
      <w:r>
        <w:rPr>
          <w:rFonts w:ascii="Times New Roman" w:eastAsia="Times New Roman" w:hAnsi="Times New Roman" w:cs="Times New Roman"/>
          <w:b/>
          <w:bCs/>
          <w:kern w:val="0"/>
          <w:lang w:eastAsia="fr-FR"/>
          <w14:ligatures w14:val="none"/>
        </w:rPr>
        <w:t xml:space="preserve"> </w:t>
      </w:r>
      <w:r>
        <w:rPr>
          <w:rFonts w:ascii="Times New Roman" w:eastAsia="Times New Roman" w:hAnsi="Times New Roman" w:cs="Times New Roman"/>
          <w:kern w:val="0"/>
          <w:lang w:eastAsia="fr-FR"/>
          <w14:ligatures w14:val="none"/>
        </w:rPr>
        <w:t xml:space="preserve">Une approche intégrée </w:t>
      </w:r>
      <w:r>
        <w:rPr>
          <w:rFonts w:ascii="Times New Roman" w:eastAsia="Times New Roman" w:hAnsi="Times New Roman" w:cs="Times New Roman"/>
          <w:kern w:val="0"/>
          <w:lang w:eastAsia="fr-FR"/>
          <w14:ligatures w14:val="none"/>
        </w:rPr>
        <w:t xml:space="preserve">fondée sur le concept « One Health » s’avère indispensable pour une gestion durable de la résistance antimicrobienne. Elle suppose l’intégration de la surveillance environnementale, en particulier des eaux usées et des eaux de surface, afin de détecter et </w:t>
      </w:r>
      <w:r>
        <w:rPr>
          <w:rFonts w:ascii="Times New Roman" w:eastAsia="Times New Roman" w:hAnsi="Times New Roman" w:cs="Times New Roman"/>
          <w:kern w:val="0"/>
          <w:lang w:eastAsia="fr-FR"/>
          <w14:ligatures w14:val="none"/>
        </w:rPr>
        <w:t>de suivre la circulation des gènes de résistance en dehors des structures de soins [13]. Enfin, la mise en œuvre de programmes communautaires de sensibilisation visant à promouvoir l’usage rationnel des antimicrobiens constitue un axe fondamental pour rédu</w:t>
      </w:r>
      <w:r>
        <w:rPr>
          <w:rFonts w:ascii="Times New Roman" w:eastAsia="Times New Roman" w:hAnsi="Times New Roman" w:cs="Times New Roman"/>
          <w:kern w:val="0"/>
          <w:lang w:eastAsia="fr-FR"/>
          <w14:ligatures w14:val="none"/>
        </w:rPr>
        <w:t>ire la pression de sélection au niveau populationnel [14].</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center"/>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t>V. CONCLUSION ET RECOMMANDATION</w:t>
      </w:r>
    </w:p>
    <w:p w:rsidR="004131C2" w:rsidRDefault="004131C2" w:rsidP="004F2585">
      <w:pPr>
        <w:spacing w:after="0" w:line="240" w:lineRule="auto"/>
        <w:jc w:val="both"/>
        <w:rPr>
          <w:rFonts w:ascii="Times New Roman" w:eastAsia="Times New Roman" w:hAnsi="Times New Roman" w:cs="Times New Roman"/>
          <w:b/>
          <w:bCs/>
          <w:kern w:val="0"/>
          <w:lang w:eastAsia="fr-FR"/>
          <w14:ligatures w14:val="none"/>
        </w:rPr>
      </w:pPr>
    </w:p>
    <w:p w:rsidR="004131C2" w:rsidRDefault="00386A5F" w:rsidP="004F2585">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5.1 Conclusion</w:t>
      </w:r>
    </w:p>
    <w:p w:rsidR="004131C2" w:rsidRDefault="00386A5F" w:rsidP="004F2585">
      <w:pPr>
        <w:spacing w:after="0" w:line="240" w:lineRule="auto"/>
        <w:ind w:firstLine="720"/>
        <w:jc w:val="both"/>
        <w:rPr>
          <w:rFonts w:asciiTheme="majorBidi" w:eastAsia="Times New Roman" w:hAnsiTheme="majorBidi" w:cstheme="majorBidi"/>
          <w:kern w:val="0"/>
          <w:lang w:eastAsia="fr-FR"/>
          <w14:ligatures w14:val="none"/>
        </w:rPr>
      </w:pPr>
      <w:r>
        <w:rPr>
          <w:rFonts w:ascii="Times New Roman" w:eastAsia="Times New Roman" w:hAnsi="Times New Roman" w:cs="Times New Roman"/>
          <w:kern w:val="0"/>
          <w:lang w:eastAsia="fr-FR"/>
          <w14:ligatures w14:val="none"/>
        </w:rPr>
        <w:t>L’analyse de 10 247 prélèvements microbiologiques à Kisangani, révélant un taux de positivité de 71,87 %, confirme que l’antibiorésistance n'est plus une menace théorique mais une crise sanitaire installée. La prévalence alarmante des bacilles Gram négatif</w:t>
      </w:r>
      <w:r>
        <w:rPr>
          <w:rFonts w:ascii="Times New Roman" w:eastAsia="Times New Roman" w:hAnsi="Times New Roman" w:cs="Times New Roman"/>
          <w:kern w:val="0"/>
          <w:lang w:eastAsia="fr-FR"/>
          <w14:ligatures w14:val="none"/>
        </w:rPr>
        <w:t xml:space="preserve"> (72,27 %), marquée par des taux de résistance de 50 % à 60 % pour les molécules usuelles et une perte d'efficacité critique du méropénème (60 % de résistance), neutralise les protocoles thérapeutiques de </w:t>
      </w:r>
      <w:r>
        <w:rPr>
          <w:rFonts w:asciiTheme="majorBidi" w:eastAsia="Times New Roman" w:hAnsiTheme="majorBidi" w:cstheme="majorBidi"/>
          <w:kern w:val="0"/>
          <w:lang w:eastAsia="fr-FR"/>
          <w14:ligatures w14:val="none"/>
        </w:rPr>
        <w:t>première ligne. Si Kisangani fait figure de « senti</w:t>
      </w:r>
      <w:r>
        <w:rPr>
          <w:rFonts w:asciiTheme="majorBidi" w:eastAsia="Times New Roman" w:hAnsiTheme="majorBidi" w:cstheme="majorBidi"/>
          <w:kern w:val="0"/>
          <w:lang w:eastAsia="fr-FR"/>
          <w14:ligatures w14:val="none"/>
        </w:rPr>
        <w:t>nelle écologique » témoignant de l'érosion de l'arsenal thérapeutique en Afrique centrale, la transition vers un pôle de surveillance active est impérative. Seule une rupture avec l'empirisme clinique, au profit d'un guidage systématique par l'antibiogramm</w:t>
      </w:r>
      <w:r>
        <w:rPr>
          <w:rFonts w:asciiTheme="majorBidi" w:eastAsia="Times New Roman" w:hAnsiTheme="majorBidi" w:cstheme="majorBidi"/>
          <w:kern w:val="0"/>
          <w:lang w:eastAsia="fr-FR"/>
          <w14:ligatures w14:val="none"/>
        </w:rPr>
        <w:t>e, permettra de réduire la mortalité et de préserver les molécules de réserve.</w:t>
      </w:r>
    </w:p>
    <w:p w:rsidR="004131C2" w:rsidRDefault="004131C2" w:rsidP="004F2585">
      <w:pPr>
        <w:spacing w:after="0" w:line="240" w:lineRule="auto"/>
        <w:ind w:firstLine="720"/>
        <w:jc w:val="both"/>
        <w:rPr>
          <w:rFonts w:asciiTheme="majorBidi" w:eastAsia="Times New Roman" w:hAnsiTheme="majorBidi" w:cstheme="majorBidi"/>
          <w:kern w:val="0"/>
          <w:lang w:eastAsia="fr-FR"/>
          <w14:ligatures w14:val="none"/>
        </w:rPr>
      </w:pPr>
    </w:p>
    <w:p w:rsidR="004131C2" w:rsidRDefault="00386A5F" w:rsidP="004F2585">
      <w:pPr>
        <w:spacing w:after="0" w:line="240" w:lineRule="auto"/>
        <w:jc w:val="both"/>
        <w:rPr>
          <w:rFonts w:asciiTheme="majorBidi" w:hAnsiTheme="majorBidi" w:cstheme="majorBidi"/>
          <w:b/>
        </w:rPr>
      </w:pPr>
      <w:r>
        <w:rPr>
          <w:rFonts w:asciiTheme="majorBidi" w:hAnsiTheme="majorBidi" w:cstheme="majorBidi"/>
          <w:b/>
        </w:rPr>
        <w:t>5.2 Recommandations</w:t>
      </w:r>
    </w:p>
    <w:p w:rsidR="004131C2" w:rsidRDefault="00386A5F" w:rsidP="004F2585">
      <w:pPr>
        <w:spacing w:after="0" w:line="240" w:lineRule="auto"/>
        <w:rPr>
          <w:rFonts w:asciiTheme="majorBidi" w:eastAsia="Times New Roman" w:hAnsiTheme="majorBidi" w:cstheme="majorBidi"/>
          <w:kern w:val="0"/>
          <w:lang w:eastAsia="fr-FR"/>
          <w14:ligatures w14:val="none"/>
        </w:rPr>
      </w:pPr>
      <w:r>
        <w:rPr>
          <w:rFonts w:asciiTheme="majorBidi" w:eastAsia="Times New Roman" w:hAnsiTheme="majorBidi" w:cstheme="majorBidi"/>
          <w:kern w:val="0"/>
          <w:lang w:eastAsia="fr-FR"/>
          <w14:ligatures w14:val="none"/>
        </w:rPr>
        <w:t>Face à l’érosion critique de l’arsenal thérapeutique observée à Kisangani, les recommandations suivantes sont proposées selon une approche hiérarchisée :</w:t>
      </w:r>
    </w:p>
    <w:p w:rsidR="004131C2" w:rsidRDefault="00386A5F" w:rsidP="004F2585">
      <w:pPr>
        <w:numPr>
          <w:ilvl w:val="0"/>
          <w:numId w:val="2"/>
        </w:numPr>
        <w:shd w:val="clear" w:color="auto" w:fill="FFFFFF"/>
        <w:tabs>
          <w:tab w:val="clear" w:pos="720"/>
          <w:tab w:val="left" w:pos="426"/>
        </w:tabs>
        <w:spacing w:after="0" w:line="240" w:lineRule="auto"/>
        <w:ind w:left="284" w:hanging="284"/>
        <w:jc w:val="both"/>
        <w:rPr>
          <w:rFonts w:asciiTheme="majorBidi" w:eastAsia="Times New Roman" w:hAnsiTheme="majorBidi" w:cstheme="majorBidi"/>
          <w:color w:val="303030"/>
          <w:kern w:val="0"/>
          <w:lang w:eastAsia="fr-FR"/>
          <w14:ligatures w14:val="none"/>
        </w:rPr>
      </w:pPr>
      <w:r>
        <w:rPr>
          <w:rFonts w:asciiTheme="majorBidi" w:eastAsia="Times New Roman" w:hAnsiTheme="majorBidi" w:cstheme="majorBidi"/>
          <w:color w:val="303030"/>
          <w:kern w:val="0"/>
          <w:lang w:eastAsia="fr-FR"/>
          <w14:ligatures w14:val="none"/>
        </w:rPr>
        <w:t>Gouvernance et cadre politique (Court terme) : Il est impératif d’institutionnaliser un réseau provincial de surveillance de la résistance antimicrobienne afin de centraliser et d’harmoniser les données issues des principaux laboratoires de référence. Para</w:t>
      </w:r>
      <w:r>
        <w:rPr>
          <w:rFonts w:asciiTheme="majorBidi" w:eastAsia="Times New Roman" w:hAnsiTheme="majorBidi" w:cstheme="majorBidi"/>
          <w:color w:val="303030"/>
          <w:kern w:val="0"/>
          <w:lang w:eastAsia="fr-FR"/>
          <w14:ligatures w14:val="none"/>
        </w:rPr>
        <w:t>llèlement, les autorités doivent instaurer une régulation rigoureuse du marché pharmaceutique pour limiter l’accès non contrôlé aux antibiotiques et freiner les pratiques d’automédication.</w:t>
      </w:r>
    </w:p>
    <w:p w:rsidR="004131C2" w:rsidRDefault="00386A5F" w:rsidP="004F2585">
      <w:pPr>
        <w:numPr>
          <w:ilvl w:val="0"/>
          <w:numId w:val="2"/>
        </w:numPr>
        <w:shd w:val="clear" w:color="auto" w:fill="FFFFFF"/>
        <w:tabs>
          <w:tab w:val="clear" w:pos="720"/>
          <w:tab w:val="left" w:pos="426"/>
        </w:tabs>
        <w:spacing w:after="0" w:line="240" w:lineRule="auto"/>
        <w:ind w:left="284" w:hanging="284"/>
        <w:jc w:val="both"/>
        <w:rPr>
          <w:rFonts w:asciiTheme="majorBidi" w:eastAsia="Times New Roman" w:hAnsiTheme="majorBidi" w:cstheme="majorBidi"/>
          <w:color w:val="303030"/>
          <w:kern w:val="0"/>
          <w:lang w:eastAsia="fr-FR"/>
          <w14:ligatures w14:val="none"/>
        </w:rPr>
      </w:pPr>
      <w:r>
        <w:rPr>
          <w:rFonts w:asciiTheme="majorBidi" w:eastAsia="Times New Roman" w:hAnsiTheme="majorBidi" w:cstheme="majorBidi"/>
          <w:color w:val="303030"/>
          <w:kern w:val="0"/>
          <w:lang w:eastAsia="fr-FR"/>
          <w14:ligatures w14:val="none"/>
        </w:rPr>
        <w:t xml:space="preserve">Renforcement technique et clinique (Moyen terme) : La promotion du </w:t>
      </w:r>
      <w:r>
        <w:rPr>
          <w:rFonts w:asciiTheme="majorBidi" w:eastAsia="Times New Roman" w:hAnsiTheme="majorBidi" w:cstheme="majorBidi"/>
          <w:color w:val="303030"/>
          <w:kern w:val="0"/>
          <w:lang w:eastAsia="fr-FR"/>
          <w14:ligatures w14:val="none"/>
        </w:rPr>
        <w:t>« Diagnostic Stewardship » doit devenir une priorité pour améliorer la pertinence des prescriptions. Cela nécessite la systématisation des antibiogrammes avant toute initiation thérapeutique. En outre, un investissement accru est nécessaire pour généralise</w:t>
      </w:r>
      <w:r>
        <w:rPr>
          <w:rFonts w:asciiTheme="majorBidi" w:eastAsia="Times New Roman" w:hAnsiTheme="majorBidi" w:cstheme="majorBidi"/>
          <w:color w:val="303030"/>
          <w:kern w:val="0"/>
          <w:lang w:eastAsia="fr-FR"/>
          <w14:ligatures w14:val="none"/>
        </w:rPr>
        <w:t>r l’usage d’équipements automatisés, tels que les systèmes VITEK® 2, et assurer la formation continue du personnel aux standards internationaux CLSI et EUCAST.</w:t>
      </w:r>
    </w:p>
    <w:p w:rsidR="004131C2" w:rsidRDefault="00386A5F" w:rsidP="004F2585">
      <w:pPr>
        <w:numPr>
          <w:ilvl w:val="0"/>
          <w:numId w:val="2"/>
        </w:numPr>
        <w:shd w:val="clear" w:color="auto" w:fill="FFFFFF"/>
        <w:tabs>
          <w:tab w:val="clear" w:pos="720"/>
          <w:tab w:val="left" w:pos="426"/>
        </w:tabs>
        <w:spacing w:after="0" w:line="240" w:lineRule="auto"/>
        <w:ind w:left="284" w:hanging="284"/>
        <w:jc w:val="both"/>
        <w:rPr>
          <w:rFonts w:asciiTheme="majorBidi" w:eastAsia="Times New Roman" w:hAnsiTheme="majorBidi" w:cstheme="majorBidi"/>
          <w:color w:val="303030"/>
          <w:kern w:val="0"/>
          <w:lang w:eastAsia="fr-FR"/>
          <w14:ligatures w14:val="none"/>
        </w:rPr>
      </w:pPr>
      <w:r>
        <w:rPr>
          <w:rFonts w:asciiTheme="majorBidi" w:eastAsia="Times New Roman" w:hAnsiTheme="majorBidi" w:cstheme="majorBidi"/>
          <w:color w:val="303030"/>
          <w:kern w:val="0"/>
          <w:lang w:eastAsia="fr-FR"/>
          <w14:ligatures w14:val="none"/>
        </w:rPr>
        <w:t>Approche intégrée One Health (Long terme) : Une gestion durable de la résistance exige l’intégra</w:t>
      </w:r>
      <w:r>
        <w:rPr>
          <w:rFonts w:asciiTheme="majorBidi" w:eastAsia="Times New Roman" w:hAnsiTheme="majorBidi" w:cstheme="majorBidi"/>
          <w:color w:val="303030"/>
          <w:kern w:val="0"/>
          <w:lang w:eastAsia="fr-FR"/>
          <w14:ligatures w14:val="none"/>
        </w:rPr>
        <w:t xml:space="preserve">tion de la surveillance environnementale, notamment par le suivi des eaux usées et de surface, pour détecter la circulation des gènes de résistance en dehors des milieux hospitaliers. Enfin, la mise en œuvre de programmes communautaires de sensibilisation </w:t>
      </w:r>
      <w:r>
        <w:rPr>
          <w:rFonts w:asciiTheme="majorBidi" w:eastAsia="Times New Roman" w:hAnsiTheme="majorBidi" w:cstheme="majorBidi"/>
          <w:color w:val="303030"/>
          <w:kern w:val="0"/>
          <w:lang w:eastAsia="fr-FR"/>
          <w14:ligatures w14:val="none"/>
        </w:rPr>
        <w:t>est essentielle pour promouvoir l’usage rationnel des antimicrobiens au niveau populationnel.</w:t>
      </w:r>
    </w:p>
    <w:p w:rsidR="004F2585" w:rsidRDefault="004F2585" w:rsidP="004F2585">
      <w:pPr>
        <w:spacing w:after="0" w:line="240" w:lineRule="auto"/>
        <w:jc w:val="center"/>
        <w:rPr>
          <w:rFonts w:ascii="Times New Roman" w:hAnsi="Times New Roman" w:cs="Times New Roman"/>
          <w:b/>
          <w:bCs/>
          <w:lang w:val="en-US"/>
        </w:rPr>
      </w:pPr>
    </w:p>
    <w:p w:rsidR="004131C2" w:rsidRDefault="00386A5F" w:rsidP="004F2585">
      <w:pPr>
        <w:spacing w:after="0" w:line="240" w:lineRule="auto"/>
        <w:jc w:val="center"/>
        <w:rPr>
          <w:rFonts w:ascii="Times New Roman" w:hAnsi="Times New Roman" w:cs="Times New Roman"/>
          <w:b/>
          <w:bCs/>
          <w:lang w:val="en-US"/>
        </w:rPr>
      </w:pPr>
      <w:r>
        <w:rPr>
          <w:rFonts w:ascii="Times New Roman" w:hAnsi="Times New Roman" w:cs="Times New Roman"/>
          <w:b/>
          <w:bCs/>
          <w:lang w:val="en-US"/>
        </w:rPr>
        <w:t>REFERENCES</w:t>
      </w:r>
    </w:p>
    <w:p w:rsidR="00E0645F" w:rsidRPr="004F2585" w:rsidRDefault="00E0645F" w:rsidP="004F2585">
      <w:pPr>
        <w:spacing w:after="0" w:line="240" w:lineRule="auto"/>
        <w:jc w:val="both"/>
        <w:rPr>
          <w:rStyle w:val="Emphasis"/>
          <w:rFonts w:ascii="Times New Roman" w:hAnsi="Times New Roman" w:cs="Times New Roman"/>
          <w:i w:val="0"/>
          <w:iCs w:val="0"/>
        </w:rPr>
      </w:pP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Murray, C. J. L., Ikuta, K. S., Sharara, F., et al. (2022). Global burden of bacterial antimicrobial resistance in 2019: A systematic analysis. </w:t>
      </w:r>
      <w:r w:rsidRPr="00E0645F">
        <w:rPr>
          <w:rFonts w:ascii="Times New Roman" w:hAnsi="Times New Roman" w:cs="Times New Roman"/>
          <w:i/>
          <w:iCs/>
          <w:lang/>
        </w:rPr>
        <w:t>The Lancet, 399</w:t>
      </w:r>
      <w:r w:rsidRPr="00E0645F">
        <w:rPr>
          <w:rFonts w:ascii="Times New Roman" w:hAnsi="Times New Roman" w:cs="Times New Roman"/>
          <w:lang/>
        </w:rPr>
        <w:t>, 629–655.</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World Health Organization (WHO). (2020). </w:t>
      </w:r>
      <w:r w:rsidRPr="00E0645F">
        <w:rPr>
          <w:rFonts w:ascii="Times New Roman" w:hAnsi="Times New Roman" w:cs="Times New Roman"/>
          <w:i/>
          <w:iCs/>
          <w:lang/>
        </w:rPr>
        <w:t>Antimicrobial resistance</w:t>
      </w:r>
      <w:r w:rsidRPr="00E0645F">
        <w:rPr>
          <w:rFonts w:ascii="Times New Roman" w:hAnsi="Times New Roman" w:cs="Times New Roman"/>
          <w:lang/>
        </w:rPr>
        <w:t>. Geneva: WHO.</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World Health Organization (WHO). (2015). </w:t>
      </w:r>
      <w:r w:rsidRPr="00E0645F">
        <w:rPr>
          <w:rFonts w:ascii="Times New Roman" w:hAnsi="Times New Roman" w:cs="Times New Roman"/>
          <w:i/>
          <w:iCs/>
          <w:lang/>
        </w:rPr>
        <w:t>Global action plan on antimicrobial resistance</w:t>
      </w:r>
      <w:r w:rsidRPr="00E0645F">
        <w:rPr>
          <w:rFonts w:ascii="Times New Roman" w:hAnsi="Times New Roman" w:cs="Times New Roman"/>
          <w:lang/>
        </w:rPr>
        <w:t>. Geneva: WHO.</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Tadesse, B. T., Ashley, E. A., Ongarello, S., et al. (2017). Antimicrobial resistance in Africa: A systematic review. </w:t>
      </w:r>
      <w:r w:rsidRPr="00E0645F">
        <w:rPr>
          <w:rFonts w:ascii="Times New Roman" w:hAnsi="Times New Roman" w:cs="Times New Roman"/>
          <w:i/>
          <w:iCs/>
          <w:lang/>
        </w:rPr>
        <w:t>BMC Infectious Diseases, 17</w:t>
      </w:r>
      <w:r w:rsidRPr="00E0645F">
        <w:rPr>
          <w:rFonts w:ascii="Times New Roman" w:hAnsi="Times New Roman" w:cs="Times New Roman"/>
          <w:lang/>
        </w:rPr>
        <w:t>, 616.</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Okeke, I. N., Laxminarayan, R., Bhutta, Z. A., et al. (2005). Antimicrobial resistance in developing countries. </w:t>
      </w:r>
      <w:r w:rsidRPr="00E0645F">
        <w:rPr>
          <w:rFonts w:ascii="Times New Roman" w:hAnsi="Times New Roman" w:cs="Times New Roman"/>
          <w:i/>
          <w:iCs/>
          <w:lang/>
        </w:rPr>
        <w:t>The Lancet Infectious Diseases, 5</w:t>
      </w:r>
      <w:r w:rsidRPr="00E0645F">
        <w:rPr>
          <w:rFonts w:ascii="Times New Roman" w:hAnsi="Times New Roman" w:cs="Times New Roman"/>
          <w:lang/>
        </w:rPr>
        <w:t>(8), 481–493.</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Luboya, N., et al. (2019). Antimicrobial resistance patterns in clinical isolates in the Democratic Republic of Congo. </w:t>
      </w:r>
      <w:r w:rsidRPr="00E0645F">
        <w:rPr>
          <w:rFonts w:ascii="Times New Roman" w:hAnsi="Times New Roman" w:cs="Times New Roman"/>
          <w:i/>
          <w:iCs/>
          <w:lang/>
        </w:rPr>
        <w:t>African Journal of Clinical Microbiology</w:t>
      </w:r>
      <w:r w:rsidRPr="00E0645F">
        <w:rPr>
          <w:rFonts w:ascii="Times New Roman" w:hAnsi="Times New Roman" w:cs="Times New Roman"/>
          <w:lang/>
        </w:rPr>
        <w:t>.</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lastRenderedPageBreak/>
        <w:t xml:space="preserve">Berendonk, T. U., Manaia, C. M., Merlin, C., et al. (2015). Tackling antibiotic resistance: The environmental framework. </w:t>
      </w:r>
      <w:r w:rsidRPr="00E0645F">
        <w:rPr>
          <w:rFonts w:ascii="Times New Roman" w:hAnsi="Times New Roman" w:cs="Times New Roman"/>
          <w:i/>
          <w:iCs/>
          <w:lang/>
        </w:rPr>
        <w:t>Nature Reviews Microbiology, 13</w:t>
      </w:r>
      <w:r w:rsidRPr="00E0645F">
        <w:rPr>
          <w:rFonts w:ascii="Times New Roman" w:hAnsi="Times New Roman" w:cs="Times New Roman"/>
          <w:lang/>
        </w:rPr>
        <w:t>, 310–317.</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Wellington, E. M. H., Boxall, A. B. A., Cross, P., et al. (2013). The role of the natural environment in the emergence of antibiotic resistance. </w:t>
      </w:r>
      <w:r w:rsidRPr="00E0645F">
        <w:rPr>
          <w:rFonts w:ascii="Times New Roman" w:hAnsi="Times New Roman" w:cs="Times New Roman"/>
          <w:i/>
          <w:iCs/>
          <w:lang/>
        </w:rPr>
        <w:t>The Lancet Infectious Diseases, 13</w:t>
      </w:r>
      <w:r w:rsidRPr="00E0645F">
        <w:rPr>
          <w:rFonts w:ascii="Times New Roman" w:hAnsi="Times New Roman" w:cs="Times New Roman"/>
          <w:lang/>
        </w:rPr>
        <w:t>(2), 155–165.</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World Health Organization (WHO). (2019). </w:t>
      </w:r>
      <w:r w:rsidRPr="00E0645F">
        <w:rPr>
          <w:rFonts w:ascii="Times New Roman" w:hAnsi="Times New Roman" w:cs="Times New Roman"/>
          <w:i/>
          <w:iCs/>
          <w:lang/>
        </w:rPr>
        <w:t>Awareness and understanding of antimicrobial resistance</w:t>
      </w:r>
      <w:r w:rsidRPr="00E0645F">
        <w:rPr>
          <w:rFonts w:ascii="Times New Roman" w:hAnsi="Times New Roman" w:cs="Times New Roman"/>
          <w:lang/>
        </w:rPr>
        <w:t>. Geneva: WHO.</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Données locales des structures sanitaires de Kisangani (rapport interne, 2023).</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OMS Afrique. (2021). </w:t>
      </w:r>
      <w:r w:rsidRPr="00E0645F">
        <w:rPr>
          <w:rFonts w:ascii="Times New Roman" w:hAnsi="Times New Roman" w:cs="Times New Roman"/>
          <w:i/>
          <w:iCs/>
          <w:lang/>
        </w:rPr>
        <w:t>Évaluation des systèmes de laboratoire en Afrique subsaharienne</w:t>
      </w:r>
      <w:r w:rsidRPr="00E0645F">
        <w:rPr>
          <w:rFonts w:ascii="Times New Roman" w:hAnsi="Times New Roman" w:cs="Times New Roman"/>
          <w:lang/>
        </w:rPr>
        <w:t>.</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Données analytiques issues des laboratoires de Kisangani (2023).</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Nordmann, P., Naas, T., &amp; Poirel, L. (2011). Global spread of carbapenemase-producing Enterobacteriaceae. </w:t>
      </w:r>
      <w:r w:rsidRPr="00E0645F">
        <w:rPr>
          <w:rFonts w:ascii="Times New Roman" w:hAnsi="Times New Roman" w:cs="Times New Roman"/>
          <w:i/>
          <w:iCs/>
          <w:lang/>
        </w:rPr>
        <w:t>Emerging Infectious Diseases, 17</w:t>
      </w:r>
      <w:r w:rsidRPr="00E0645F">
        <w:rPr>
          <w:rFonts w:ascii="Times New Roman" w:hAnsi="Times New Roman" w:cs="Times New Roman"/>
          <w:lang/>
        </w:rPr>
        <w:t>(10), 1791–1798.</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O’Neill, J. (2016). </w:t>
      </w:r>
      <w:r w:rsidRPr="00E0645F">
        <w:rPr>
          <w:rFonts w:ascii="Times New Roman" w:hAnsi="Times New Roman" w:cs="Times New Roman"/>
          <w:i/>
          <w:iCs/>
          <w:lang/>
        </w:rPr>
        <w:t>Tackling drug-resistant infections globally: Final report and recommendations</w:t>
      </w:r>
      <w:r w:rsidRPr="00E0645F">
        <w:rPr>
          <w:rFonts w:ascii="Times New Roman" w:hAnsi="Times New Roman" w:cs="Times New Roman"/>
          <w:lang/>
        </w:rPr>
        <w:t>. Review on Antimicrobial Resistance.</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Dik, J. W. H., Hendrix, R., Poelman, R., et al. (2016). Measuring the impact of antimicrobial stewardship programs. </w:t>
      </w:r>
      <w:r w:rsidRPr="00E0645F">
        <w:rPr>
          <w:rFonts w:ascii="Times New Roman" w:hAnsi="Times New Roman" w:cs="Times New Roman"/>
          <w:i/>
          <w:iCs/>
          <w:lang/>
        </w:rPr>
        <w:t>Clinical Microbiology and Infection, 22</w:t>
      </w:r>
      <w:r w:rsidRPr="00E0645F">
        <w:rPr>
          <w:rFonts w:ascii="Times New Roman" w:hAnsi="Times New Roman" w:cs="Times New Roman"/>
          <w:lang/>
        </w:rPr>
        <w:t>(6), 508–513.</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Kish, L. (1965). </w:t>
      </w:r>
      <w:r w:rsidRPr="00E0645F">
        <w:rPr>
          <w:rFonts w:ascii="Times New Roman" w:hAnsi="Times New Roman" w:cs="Times New Roman"/>
          <w:i/>
          <w:iCs/>
          <w:lang/>
        </w:rPr>
        <w:t>Survey sampling</w:t>
      </w:r>
      <w:r w:rsidRPr="00E0645F">
        <w:rPr>
          <w:rFonts w:ascii="Times New Roman" w:hAnsi="Times New Roman" w:cs="Times New Roman"/>
          <w:lang/>
        </w:rPr>
        <w:t>. New York: John Wiley &amp; Sons.</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Fisher, R. A. (1922). On the interpretation of χ² from contingency tables. </w:t>
      </w:r>
      <w:r w:rsidRPr="00E0645F">
        <w:rPr>
          <w:rFonts w:ascii="Times New Roman" w:hAnsi="Times New Roman" w:cs="Times New Roman"/>
          <w:i/>
          <w:iCs/>
          <w:lang/>
        </w:rPr>
        <w:t>Journal of the Royal Statistical Society: Series A, 85</w:t>
      </w:r>
      <w:r w:rsidRPr="00E0645F">
        <w:rPr>
          <w:rFonts w:ascii="Times New Roman" w:hAnsi="Times New Roman" w:cs="Times New Roman"/>
          <w:lang/>
        </w:rPr>
        <w:t xml:space="preserve">, 87–94. </w:t>
      </w:r>
      <w:hyperlink r:id="rId11" w:tgtFrame="_new" w:history="1">
        <w:r w:rsidRPr="00E0645F">
          <w:rPr>
            <w:rStyle w:val="Hyperlink"/>
            <w:rFonts w:ascii="Times New Roman" w:hAnsi="Times New Roman" w:cs="Times New Roman"/>
            <w:lang/>
          </w:rPr>
          <w:t>https://doi.org/10.2307/2340521</w:t>
        </w:r>
      </w:hyperlink>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Clinical and Laboratory Standards Institute (CLSI). (2023). </w:t>
      </w:r>
      <w:r w:rsidRPr="00E0645F">
        <w:rPr>
          <w:rFonts w:ascii="Times New Roman" w:hAnsi="Times New Roman" w:cs="Times New Roman"/>
          <w:i/>
          <w:iCs/>
          <w:lang/>
        </w:rPr>
        <w:t>Performance standards for antimicrobial susceptibility testing</w:t>
      </w:r>
      <w:r w:rsidRPr="00E0645F">
        <w:rPr>
          <w:rFonts w:ascii="Times New Roman" w:hAnsi="Times New Roman" w:cs="Times New Roman"/>
          <w:lang/>
        </w:rPr>
        <w:t xml:space="preserve"> (33rd ed.). Wayne, PA: CLSI.</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European Committee on Antimicrobial Susceptibility Testing (EUCAST). (2024). </w:t>
      </w:r>
      <w:r w:rsidRPr="00E0645F">
        <w:rPr>
          <w:rFonts w:ascii="Times New Roman" w:hAnsi="Times New Roman" w:cs="Times New Roman"/>
          <w:i/>
          <w:iCs/>
          <w:lang/>
        </w:rPr>
        <w:t>Breakpoint tables for interpretation of MICs and zone diameters</w:t>
      </w:r>
      <w:r w:rsidRPr="00E0645F">
        <w:rPr>
          <w:rFonts w:ascii="Times New Roman" w:hAnsi="Times New Roman" w:cs="Times New Roman"/>
          <w:lang/>
        </w:rPr>
        <w:t>.</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IBM Corp. (2017). </w:t>
      </w:r>
      <w:r w:rsidRPr="00E0645F">
        <w:rPr>
          <w:rFonts w:ascii="Times New Roman" w:hAnsi="Times New Roman" w:cs="Times New Roman"/>
          <w:i/>
          <w:iCs/>
          <w:lang/>
        </w:rPr>
        <w:t>IBM SPSS Statistics for Windows, Version 25.0</w:t>
      </w:r>
      <w:r w:rsidRPr="00E0645F">
        <w:rPr>
          <w:rFonts w:ascii="Times New Roman" w:hAnsi="Times New Roman" w:cs="Times New Roman"/>
          <w:lang/>
        </w:rPr>
        <w:t>. Armonk, NY: IBM Corp.</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R Core Team. (2023). </w:t>
      </w:r>
      <w:r w:rsidRPr="00E0645F">
        <w:rPr>
          <w:rFonts w:ascii="Times New Roman" w:hAnsi="Times New Roman" w:cs="Times New Roman"/>
          <w:i/>
          <w:iCs/>
          <w:lang/>
        </w:rPr>
        <w:t>R: A language and environment for statistical computing</w:t>
      </w:r>
      <w:r w:rsidRPr="00E0645F">
        <w:rPr>
          <w:rFonts w:ascii="Times New Roman" w:hAnsi="Times New Roman" w:cs="Times New Roman"/>
          <w:lang/>
        </w:rPr>
        <w:t>. Vienna: R Foundation for Statistical Computing.</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Agresti, A. (2013). </w:t>
      </w:r>
      <w:r w:rsidRPr="00E0645F">
        <w:rPr>
          <w:rFonts w:ascii="Times New Roman" w:hAnsi="Times New Roman" w:cs="Times New Roman"/>
          <w:i/>
          <w:iCs/>
          <w:lang/>
        </w:rPr>
        <w:t>Categorical data analysis</w:t>
      </w:r>
      <w:r w:rsidRPr="00E0645F">
        <w:rPr>
          <w:rFonts w:ascii="Times New Roman" w:hAnsi="Times New Roman" w:cs="Times New Roman"/>
          <w:lang/>
        </w:rPr>
        <w:t xml:space="preserve"> (3rd ed.). Wiley.</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World Medical Association (WMA). (2013). </w:t>
      </w:r>
      <w:r w:rsidRPr="00E0645F">
        <w:rPr>
          <w:rFonts w:ascii="Times New Roman" w:hAnsi="Times New Roman" w:cs="Times New Roman"/>
          <w:i/>
          <w:iCs/>
          <w:lang/>
        </w:rPr>
        <w:t>Declaration of Helsinki: Ethical principles for medical research involving human subjects</w:t>
      </w:r>
      <w:r w:rsidRPr="00E0645F">
        <w:rPr>
          <w:rFonts w:ascii="Times New Roman" w:hAnsi="Times New Roman" w:cs="Times New Roman"/>
          <w:lang/>
        </w:rPr>
        <w:t>.</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Council for International Organizations of Medical Sciences (CIOMS). (2016). </w:t>
      </w:r>
      <w:r w:rsidRPr="00E0645F">
        <w:rPr>
          <w:rFonts w:ascii="Times New Roman" w:hAnsi="Times New Roman" w:cs="Times New Roman"/>
          <w:i/>
          <w:iCs/>
          <w:lang/>
        </w:rPr>
        <w:t>International ethical guidelines for health-related research involving humans</w:t>
      </w:r>
      <w:r w:rsidRPr="00E0645F">
        <w:rPr>
          <w:rFonts w:ascii="Times New Roman" w:hAnsi="Times New Roman" w:cs="Times New Roman"/>
          <w:lang/>
        </w:rPr>
        <w:t>.</w:t>
      </w:r>
    </w:p>
    <w:p w:rsidR="00E0645F" w:rsidRPr="00E0645F" w:rsidRDefault="00E0645F" w:rsidP="004F2585">
      <w:pPr>
        <w:pStyle w:val="ListParagraph"/>
        <w:numPr>
          <w:ilvl w:val="0"/>
          <w:numId w:val="3"/>
        </w:numPr>
        <w:spacing w:after="0" w:line="240" w:lineRule="auto"/>
        <w:ind w:left="540" w:hanging="540"/>
        <w:jc w:val="both"/>
        <w:rPr>
          <w:rFonts w:ascii="Times New Roman" w:hAnsi="Times New Roman" w:cs="Times New Roman"/>
          <w:lang/>
        </w:rPr>
      </w:pPr>
      <w:r w:rsidRPr="00E0645F">
        <w:rPr>
          <w:rFonts w:ascii="Times New Roman" w:hAnsi="Times New Roman" w:cs="Times New Roman"/>
          <w:lang/>
        </w:rPr>
        <w:t xml:space="preserve">One Health Commission. (2020). </w:t>
      </w:r>
      <w:r w:rsidRPr="00E0645F">
        <w:rPr>
          <w:rFonts w:ascii="Times New Roman" w:hAnsi="Times New Roman" w:cs="Times New Roman"/>
          <w:i/>
          <w:iCs/>
          <w:lang/>
        </w:rPr>
        <w:t>What is One Health?</w:t>
      </w:r>
      <w:r w:rsidRPr="00E0645F">
        <w:rPr>
          <w:rFonts w:ascii="Times New Roman" w:hAnsi="Times New Roman" w:cs="Times New Roman"/>
          <w:lang/>
        </w:rPr>
        <w:t xml:space="preserve"> </w:t>
      </w:r>
      <w:r w:rsidRPr="00E0645F">
        <w:rPr>
          <w:rFonts w:ascii="Times New Roman" w:hAnsi="Times New Roman" w:cs="Times New Roman"/>
          <w:lang/>
        </w:rPr>
        <w:t>One Health Commission.</w:t>
      </w:r>
    </w:p>
    <w:p w:rsidR="00E0645F" w:rsidRPr="00E0645F" w:rsidRDefault="00E0645F" w:rsidP="004F2585">
      <w:pPr>
        <w:spacing w:after="0" w:line="240" w:lineRule="auto"/>
        <w:jc w:val="both"/>
        <w:rPr>
          <w:rFonts w:ascii="Times New Roman" w:hAnsi="Times New Roman" w:cs="Times New Roman"/>
          <w:lang w:val="en-US"/>
        </w:rPr>
      </w:pPr>
    </w:p>
    <w:p w:rsidR="004131C2" w:rsidRDefault="004131C2" w:rsidP="004F2585">
      <w:pPr>
        <w:spacing w:after="0" w:line="240" w:lineRule="auto"/>
        <w:jc w:val="both"/>
        <w:rPr>
          <w:rFonts w:ascii="Times New Roman" w:eastAsia="Times New Roman" w:hAnsi="Times New Roman" w:cs="Times New Roman"/>
          <w:kern w:val="0"/>
          <w:lang w:val="en-US" w:eastAsia="fr-FR"/>
          <w14:ligatures w14:val="none"/>
        </w:rPr>
      </w:pPr>
    </w:p>
    <w:p w:rsidR="004131C2" w:rsidRDefault="004131C2" w:rsidP="004F2585">
      <w:pPr>
        <w:spacing w:after="0" w:line="240" w:lineRule="auto"/>
        <w:jc w:val="both"/>
        <w:rPr>
          <w:rFonts w:ascii="Times New Roman" w:hAnsi="Times New Roman" w:cs="Times New Roman"/>
          <w:lang w:val="en-US"/>
        </w:rPr>
      </w:pPr>
    </w:p>
    <w:sectPr w:rsidR="004131C2" w:rsidSect="00E34D9F">
      <w:headerReference w:type="default" r:id="rId12"/>
      <w:footerReference w:type="default" r:id="rId13"/>
      <w:pgSz w:w="11906" w:h="16838"/>
      <w:pgMar w:top="1225" w:right="720" w:bottom="720" w:left="720" w:header="630" w:footer="60" w:gutter="0"/>
      <w:pgNumType w:start="5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A5F" w:rsidRDefault="00386A5F">
      <w:pPr>
        <w:spacing w:line="240" w:lineRule="auto"/>
      </w:pPr>
      <w:r>
        <w:separator/>
      </w:r>
    </w:p>
  </w:endnote>
  <w:endnote w:type="continuationSeparator" w:id="0">
    <w:p w:rsidR="00386A5F" w:rsidRDefault="00386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C2" w:rsidRPr="00E0645F" w:rsidRDefault="00386A5F">
    <w:pPr>
      <w:pStyle w:val="Footer"/>
      <w:jc w:val="center"/>
      <w:rPr>
        <w:rFonts w:ascii="Times New Roman" w:hAnsi="Times New Roman"/>
        <w:sz w:val="20"/>
        <w:szCs w:val="20"/>
        <w:lang w:val="en-US"/>
      </w:rPr>
    </w:pPr>
    <w:r w:rsidRPr="00E0645F">
      <w:rPr>
        <w:rFonts w:ascii="Times New Roman" w:hAnsi="Times New Roman"/>
        <w:sz w:val="20"/>
        <w:szCs w:val="20"/>
      </w:rPr>
      <w:fldChar w:fldCharType="begin"/>
    </w:r>
    <w:r w:rsidRPr="00E0645F">
      <w:rPr>
        <w:rFonts w:ascii="Times New Roman" w:hAnsi="Times New Roman"/>
        <w:sz w:val="20"/>
        <w:szCs w:val="20"/>
        <w:lang w:val="en-US"/>
      </w:rPr>
      <w:instrText xml:space="preserve"> PAGE </w:instrText>
    </w:r>
    <w:r w:rsidRPr="00E0645F">
      <w:rPr>
        <w:rFonts w:ascii="Times New Roman" w:hAnsi="Times New Roman"/>
        <w:sz w:val="20"/>
        <w:szCs w:val="20"/>
      </w:rPr>
      <w:fldChar w:fldCharType="separate"/>
    </w:r>
    <w:r w:rsidR="0040045B">
      <w:rPr>
        <w:rFonts w:ascii="Times New Roman" w:hAnsi="Times New Roman"/>
        <w:noProof/>
        <w:sz w:val="20"/>
        <w:szCs w:val="20"/>
        <w:lang w:val="en-US"/>
      </w:rPr>
      <w:t>504</w:t>
    </w:r>
    <w:r w:rsidRPr="00E0645F">
      <w:rPr>
        <w:rFonts w:ascii="Times New Roman" w:hAnsi="Times New Roman"/>
        <w:sz w:val="20"/>
        <w:szCs w:val="20"/>
      </w:rPr>
      <w:fldChar w:fldCharType="end"/>
    </w:r>
  </w:p>
  <w:p w:rsidR="004131C2" w:rsidRDefault="004131C2">
    <w:pPr>
      <w:pStyle w:val="Footer"/>
      <w:jc w:val="center"/>
      <w:rPr>
        <w:rFonts w:ascii="Times New Roman" w:hAnsi="Times New Roman"/>
        <w:sz w:val="2"/>
        <w:lang w:val="en-US"/>
      </w:rPr>
    </w:pPr>
  </w:p>
  <w:p w:rsidR="004131C2" w:rsidRPr="00E0645F" w:rsidRDefault="00386A5F">
    <w:pPr>
      <w:pStyle w:val="Footer"/>
      <w:jc w:val="center"/>
      <w:rPr>
        <w:rFonts w:ascii="Times New Roman" w:hAnsi="Times New Roman"/>
        <w:sz w:val="20"/>
        <w:szCs w:val="20"/>
        <w:lang w:val="en-US"/>
      </w:rPr>
    </w:pPr>
    <w:r w:rsidRPr="00E0645F">
      <w:rPr>
        <w:rFonts w:ascii="Times New Roman" w:hAnsi="Times New Roman"/>
        <w:sz w:val="20"/>
        <w:szCs w:val="20"/>
        <w:lang w:val="en-US"/>
      </w:rPr>
      <w:t>Licensed Under Creative Commons Attribution (CC BY-NC)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A5F" w:rsidRDefault="00386A5F">
      <w:pPr>
        <w:spacing w:after="0"/>
      </w:pPr>
      <w:r>
        <w:separator/>
      </w:r>
    </w:p>
  </w:footnote>
  <w:footnote w:type="continuationSeparator" w:id="0">
    <w:p w:rsidR="00386A5F" w:rsidRDefault="00386A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C2" w:rsidRDefault="00386A5F" w:rsidP="00E0645F">
    <w:pPr>
      <w:tabs>
        <w:tab w:val="center" w:pos="4680"/>
        <w:tab w:val="right" w:pos="9360"/>
      </w:tabs>
      <w:spacing w:after="0"/>
      <w:rPr>
        <w:rFonts w:ascii="Book Antiqua" w:hAnsi="Book Antiqua"/>
        <w:sz w:val="18"/>
        <w:lang w:val="en-US"/>
      </w:rPr>
    </w:pPr>
    <w:r>
      <w:rPr>
        <w:noProof/>
        <w:lang w:eastAsia="zh-CN"/>
      </w:rPr>
      <w:drawing>
        <wp:anchor distT="0" distB="0" distL="114300" distR="114300" simplePos="0" relativeHeight="251656192" behindDoc="0" locked="0" layoutInCell="1" allowOverlap="1" wp14:anchorId="44D9A038" wp14:editId="6BE457F6">
          <wp:simplePos x="0" y="0"/>
          <wp:positionH relativeFrom="margin">
            <wp:posOffset>5825490</wp:posOffset>
          </wp:positionH>
          <wp:positionV relativeFrom="paragraph">
            <wp:posOffset>-361950</wp:posOffset>
          </wp:positionV>
          <wp:extent cx="916940" cy="828675"/>
          <wp:effectExtent l="0" t="0" r="0" b="0"/>
          <wp:wrapNone/>
          <wp:docPr id="3" name="Picture 3" descr="Description: https://ajernet.net/ojs/public/journals/1/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https://ajernet.net/ojs/public/journals/1/pageHeaderLogoImage_en_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6940" cy="828675"/>
                  </a:xfrm>
                  <a:prstGeom prst="rect">
                    <a:avLst/>
                  </a:prstGeom>
                  <a:noFill/>
                  <a:ln>
                    <a:noFill/>
                  </a:ln>
                </pic:spPr>
              </pic:pic>
            </a:graphicData>
          </a:graphic>
        </wp:anchor>
      </w:drawing>
    </w:r>
    <w:bookmarkStart w:id="1" w:name="_Hlk180453766"/>
    <w:bookmarkStart w:id="2" w:name="_Hlk180453767"/>
    <w:bookmarkStart w:id="3" w:name="_Hlk180453696"/>
    <w:bookmarkStart w:id="4" w:name="_Hlk175686710"/>
    <w:bookmarkStart w:id="5" w:name="_Hlk179724260"/>
    <w:bookmarkStart w:id="6" w:name="_Hlk180453793"/>
    <w:bookmarkStart w:id="7" w:name="_Hlk180453725"/>
    <w:bookmarkStart w:id="8" w:name="_Hlk175667482"/>
    <w:bookmarkStart w:id="9" w:name="_Hlk180453794"/>
    <w:bookmarkStart w:id="10" w:name="_Hlk180453840"/>
    <w:bookmarkStart w:id="11" w:name="_Hlk175667483"/>
    <w:bookmarkStart w:id="12" w:name="_Hlk180453724"/>
    <w:bookmarkStart w:id="13" w:name="_Hlk180453839"/>
    <w:bookmarkStart w:id="14" w:name="_Hlk180502239"/>
    <w:bookmarkStart w:id="15" w:name="_Hlk180502240"/>
    <w:bookmarkStart w:id="16" w:name="_Hlk180502274"/>
    <w:bookmarkStart w:id="17" w:name="_Hlk159261952"/>
    <w:bookmarkStart w:id="18" w:name="_Hlk159261953"/>
    <w:bookmarkStart w:id="19" w:name="_Hlk175686709"/>
    <w:bookmarkStart w:id="20" w:name="_Hlk179697114"/>
    <w:bookmarkStart w:id="21" w:name="_Hlk179697115"/>
    <w:bookmarkStart w:id="22" w:name="_Hlk179724259"/>
    <w:bookmarkStart w:id="23" w:name="_Hlk180453695"/>
    <w:bookmarkStart w:id="24" w:name="_Hlk185573930"/>
    <w:bookmarkStart w:id="25" w:name="_Hlk185573931"/>
    <w:bookmarkStart w:id="26" w:name="_Hlk180502275"/>
    <w:bookmarkStart w:id="27" w:name="_Hlk185564047"/>
    <w:bookmarkStart w:id="28" w:name="_Hlk185564555"/>
    <w:bookmarkStart w:id="29" w:name="_Hlk185564048"/>
    <w:bookmarkStart w:id="30" w:name="_Hlk185564556"/>
    <w:bookmarkStart w:id="31" w:name="_Hlk197709865"/>
    <w:bookmarkStart w:id="32" w:name="_Hlk197709866"/>
    <w:r>
      <w:rPr>
        <w:rFonts w:ascii="Book Antiqua" w:hAnsi="Book Antiqua"/>
        <w:sz w:val="18"/>
        <w:lang w:val="en-US"/>
      </w:rPr>
      <w:t xml:space="preserve">Vol. 7 (Iss. 2) 2026, pp. </w:t>
    </w:r>
    <w:r w:rsidR="00E0645F" w:rsidRPr="004F2585">
      <w:rPr>
        <w:rFonts w:ascii="Book Antiqua" w:hAnsi="Book Antiqua"/>
        <w:sz w:val="18"/>
        <w:lang w:val="en-US"/>
      </w:rPr>
      <w:t>504</w:t>
    </w:r>
    <w:r w:rsidR="004F2585" w:rsidRPr="004F2585">
      <w:rPr>
        <w:rFonts w:ascii="Book Antiqua" w:hAnsi="Book Antiqua"/>
        <w:sz w:val="18"/>
        <w:lang w:val="en-US"/>
      </w:rPr>
      <w:t>-509</w:t>
    </w:r>
    <w:r w:rsidRPr="004F2585">
      <w:rPr>
        <w:rFonts w:ascii="Book Antiqua" w:hAnsi="Book Antiqua"/>
        <w:sz w:val="18"/>
        <w:lang w:val="en-US"/>
      </w:rPr>
      <w:t xml:space="preserve">     African</w:t>
    </w:r>
    <w:r>
      <w:rPr>
        <w:rFonts w:ascii="Book Antiqua" w:hAnsi="Book Antiqua"/>
        <w:sz w:val="18"/>
        <w:lang w:val="en-US"/>
      </w:rPr>
      <w:t xml:space="preserve"> Journal of Empirical Research       https://ajernet.net   </w:t>
    </w:r>
    <w:r w:rsidR="004F2585">
      <w:rPr>
        <w:rFonts w:ascii="Book Antiqua" w:hAnsi="Book Antiqua"/>
        <w:sz w:val="18"/>
        <w:lang w:val="en-US"/>
      </w:rPr>
      <w:t xml:space="preserve"> </w:t>
    </w:r>
    <w:r>
      <w:rPr>
        <w:rFonts w:ascii="Book Antiqua" w:hAnsi="Book Antiqua"/>
        <w:sz w:val="18"/>
        <w:lang w:val="en-US"/>
      </w:rPr>
      <w:t xml:space="preserve">   ISSN 2709-2607</w:t>
    </w:r>
  </w:p>
  <w:p w:rsidR="004131C2" w:rsidRDefault="00386A5F">
    <w:pPr>
      <w:pStyle w:val="Header"/>
      <w:rPr>
        <w:lang w:val="en-US"/>
      </w:rPr>
    </w:pPr>
    <w:r>
      <w:rPr>
        <w:noProof/>
        <w:lang w:eastAsia="zh-CN"/>
      </w:rPr>
      <mc:AlternateContent>
        <mc:Choice Requires="wps">
          <w:drawing>
            <wp:anchor distT="0" distB="0" distL="0" distR="0" simplePos="0" relativeHeight="251659264" behindDoc="0" locked="0" layoutInCell="1" allowOverlap="1" wp14:anchorId="320F6D7B" wp14:editId="14E7DDEE">
              <wp:simplePos x="0" y="0"/>
              <wp:positionH relativeFrom="margin">
                <wp:posOffset>9525</wp:posOffset>
              </wp:positionH>
              <wp:positionV relativeFrom="paragraph">
                <wp:posOffset>65405</wp:posOffset>
              </wp:positionV>
              <wp:extent cx="569277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5692775" cy="0"/>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w:pict>
            <v:line w14:anchorId="45CC302C" id="Straight Connector 4" o:spid="_x0000_s1026" style="position:absolute;z-index:251659264;visibility:visible;mso-wrap-style:square;mso-wrap-distance-left:0;mso-wrap-distance-top:0;mso-wrap-distance-right:0;mso-wrap-distance-bottom:0;mso-position-horizontal:absolute;mso-position-horizontal-relative:margin;mso-position-vertical:absolute;mso-position-vertical-relative:text" from=".75pt,5.15pt" to="44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" strokeweight="1pt">
              <w10:wrap anchorx="margin"/>
            </v:line>
          </w:pict>
        </mc:Fallback>
      </mc:AlternateContent>
    </w:r>
    <w:r>
      <w:rPr>
        <w:lang w:val="en-US"/>
      </w:rPr>
      <w:tab/>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rsidR="004131C2" w:rsidRDefault="004131C2">
    <w:pPr>
      <w:pStyle w:val="Header"/>
      <w:rPr>
        <w:sz w:val="6"/>
        <w:szCs w:val="6"/>
        <w:lang w:val="en-US"/>
      </w:rPr>
    </w:pPr>
  </w:p>
  <w:bookmarkEnd w:id="31"/>
  <w:bookmarkEnd w:id="32"/>
  <w:p w:rsidR="004131C2" w:rsidRPr="00E34D9F" w:rsidRDefault="004131C2">
    <w:pPr>
      <w:pStyle w:val="Header"/>
      <w:rPr>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39333F"/>
    <w:multiLevelType w:val="hybridMultilevel"/>
    <w:tmpl w:val="9044280E"/>
    <w:lvl w:ilvl="0" w:tplc="EB3AC464">
      <w:start w:val="1"/>
      <w:numFmt w:val="decimal"/>
      <w:lvlText w:val="[%1] "/>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624B2F42"/>
    <w:multiLevelType w:val="multilevel"/>
    <w:tmpl w:val="624B2F4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4D50609"/>
    <w:multiLevelType w:val="multilevel"/>
    <w:tmpl w:val="64D50609"/>
    <w:lvl w:ilvl="0">
      <w:start w:val="1"/>
      <w:numFmt w:val="bullet"/>
      <w:lvlText w:val="-"/>
      <w:lvlJc w:val="left"/>
      <w:pPr>
        <w:tabs>
          <w:tab w:val="left" w:pos="720"/>
        </w:tabs>
        <w:ind w:left="720" w:hanging="360"/>
      </w:pPr>
      <w:rPr>
        <w:rFonts w:ascii="Verdana" w:hAnsi="Verdana"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25"/>
    <w:rsid w:val="000064DB"/>
    <w:rsid w:val="0001063A"/>
    <w:rsid w:val="00033421"/>
    <w:rsid w:val="00057082"/>
    <w:rsid w:val="00076238"/>
    <w:rsid w:val="001E2FF6"/>
    <w:rsid w:val="001E60B5"/>
    <w:rsid w:val="00224010"/>
    <w:rsid w:val="00245374"/>
    <w:rsid w:val="00271E30"/>
    <w:rsid w:val="002A33A5"/>
    <w:rsid w:val="002E3C93"/>
    <w:rsid w:val="002E5D52"/>
    <w:rsid w:val="003108A2"/>
    <w:rsid w:val="00385CCE"/>
    <w:rsid w:val="00386A5F"/>
    <w:rsid w:val="0039573F"/>
    <w:rsid w:val="003F5781"/>
    <w:rsid w:val="0040045B"/>
    <w:rsid w:val="004131C2"/>
    <w:rsid w:val="00483DF4"/>
    <w:rsid w:val="00485029"/>
    <w:rsid w:val="004B5726"/>
    <w:rsid w:val="004F2585"/>
    <w:rsid w:val="00524EA1"/>
    <w:rsid w:val="005568C3"/>
    <w:rsid w:val="00596564"/>
    <w:rsid w:val="005D1125"/>
    <w:rsid w:val="005F78B2"/>
    <w:rsid w:val="00632FC5"/>
    <w:rsid w:val="00680AEC"/>
    <w:rsid w:val="00701539"/>
    <w:rsid w:val="007C64D1"/>
    <w:rsid w:val="00816146"/>
    <w:rsid w:val="00842359"/>
    <w:rsid w:val="0089064A"/>
    <w:rsid w:val="008D0AF1"/>
    <w:rsid w:val="00962367"/>
    <w:rsid w:val="009659A9"/>
    <w:rsid w:val="00A4419F"/>
    <w:rsid w:val="00A4424B"/>
    <w:rsid w:val="00A64FE4"/>
    <w:rsid w:val="00AB6CAB"/>
    <w:rsid w:val="00AE2B51"/>
    <w:rsid w:val="00B52281"/>
    <w:rsid w:val="00B664AA"/>
    <w:rsid w:val="00BF324E"/>
    <w:rsid w:val="00C013B9"/>
    <w:rsid w:val="00C20547"/>
    <w:rsid w:val="00C24A65"/>
    <w:rsid w:val="00C93D38"/>
    <w:rsid w:val="00CD5C7F"/>
    <w:rsid w:val="00D26317"/>
    <w:rsid w:val="00D344EB"/>
    <w:rsid w:val="00D917A5"/>
    <w:rsid w:val="00DA5450"/>
    <w:rsid w:val="00DC5DED"/>
    <w:rsid w:val="00DE0E2C"/>
    <w:rsid w:val="00DE7BCD"/>
    <w:rsid w:val="00E0645F"/>
    <w:rsid w:val="00E11755"/>
    <w:rsid w:val="00E1331D"/>
    <w:rsid w:val="00E34D9F"/>
    <w:rsid w:val="00E40546"/>
    <w:rsid w:val="00E56B61"/>
    <w:rsid w:val="00EE7391"/>
    <w:rsid w:val="00F55AD8"/>
    <w:rsid w:val="00F56928"/>
    <w:rsid w:val="00F75288"/>
    <w:rsid w:val="00FC5E93"/>
    <w:rsid w:val="36265B3A"/>
    <w:rsid w:val="780472F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BD91EC-DFBE-4F50-A0F1-1A02CBF3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fr-FR" w:eastAsia="en-US"/>
      <w14:ligatures w14:val="standardContextual"/>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Pr>
      <w:b/>
      <w:bCs/>
    </w:rPr>
  </w:style>
  <w:style w:type="character" w:customStyle="1" w:styleId="ng-star-inserted">
    <w:name w:val="ng-star-inserted"/>
    <w:basedOn w:val="DefaultParagraphFont"/>
    <w:qFormat/>
  </w:style>
  <w:style w:type="character" w:customStyle="1" w:styleId="mord">
    <w:name w:val="mord"/>
    <w:basedOn w:val="DefaultParagraphFont"/>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kern w:val="0"/>
      <w:sz w:val="27"/>
      <w:szCs w:val="27"/>
      <w:lang w:eastAsia="fr-FR"/>
      <w14:ligatures w14:val="none"/>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kern w:val="0"/>
      <w:sz w:val="24"/>
      <w:szCs w:val="24"/>
      <w:lang w:eastAsia="fr-FR"/>
      <w14:ligatures w14:val="none"/>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rPr>
  </w:style>
  <w:style w:type="character" w:customStyle="1" w:styleId="katex-mathml">
    <w:name w:val="katex-mathml"/>
    <w:basedOn w:val="DefaultParagraphFont"/>
    <w:qFormat/>
  </w:style>
  <w:style w:type="character" w:customStyle="1" w:styleId="mrel">
    <w:name w:val="mrel"/>
    <w:basedOn w:val="DefaultParagraphFont"/>
    <w:qFormat/>
  </w:style>
  <w:style w:type="character" w:customStyle="1" w:styleId="mopen">
    <w:name w:val="mopen"/>
    <w:basedOn w:val="DefaultParagraphFont"/>
    <w:qFormat/>
  </w:style>
  <w:style w:type="character" w:customStyle="1" w:styleId="mbin">
    <w:name w:val="mbin"/>
    <w:basedOn w:val="DefaultParagraphFont"/>
    <w:qFormat/>
  </w:style>
  <w:style w:type="character" w:customStyle="1" w:styleId="mclose">
    <w:name w:val="mclose"/>
    <w:basedOn w:val="DefaultParagraphFont"/>
    <w:qFormat/>
  </w:style>
  <w:style w:type="character" w:customStyle="1" w:styleId="vlist-s">
    <w:name w:val="vlist-s"/>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Revision1">
    <w:name w:val="Revision1"/>
    <w:hidden/>
    <w:uiPriority w:val="99"/>
    <w:semiHidden/>
    <w:qFormat/>
    <w:rPr>
      <w:rFonts w:asciiTheme="minorHAnsi" w:eastAsiaTheme="minorHAnsi" w:hAnsiTheme="minorHAnsi" w:cstheme="minorBidi"/>
      <w:kern w:val="2"/>
      <w:sz w:val="22"/>
      <w:szCs w:val="22"/>
      <w:lang w:val="fr-FR" w:eastAsia="en-US"/>
      <w14:ligatures w14:val="standardContextual"/>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712544">
      <w:bodyDiv w:val="1"/>
      <w:marLeft w:val="0"/>
      <w:marRight w:val="0"/>
      <w:marTop w:val="0"/>
      <w:marBottom w:val="0"/>
      <w:divBdr>
        <w:top w:val="none" w:sz="0" w:space="0" w:color="auto"/>
        <w:left w:val="none" w:sz="0" w:space="0" w:color="auto"/>
        <w:bottom w:val="none" w:sz="0" w:space="0" w:color="auto"/>
        <w:right w:val="none" w:sz="0" w:space="0" w:color="auto"/>
      </w:divBdr>
    </w:div>
    <w:div w:id="1074277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307/234052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51867/ajernet.7.2.46" TargetMode="External"/><Relationship Id="rId4" Type="http://schemas.openxmlformats.org/officeDocument/2006/relationships/styles" Target="styles.xml"/><Relationship Id="rId9" Type="http://schemas.openxmlformats.org/officeDocument/2006/relationships/hyperlink" Target="mailto:papymwanga05@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AE5980-B819-4F3F-AA65-18A4F134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4061</Words>
  <Characters>23150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EVARISTE</dc:creator>
  <cp:lastModifiedBy>USER</cp:lastModifiedBy>
  <cp:revision>15</cp:revision>
  <dcterms:created xsi:type="dcterms:W3CDTF">2026-05-01T17:56:00Z</dcterms:created>
  <dcterms:modified xsi:type="dcterms:W3CDTF">2026-05-01T18:12:00Z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eyJoZGlkIjoiMzdlNzRkYmEyNjIzZTFmNmNmNThkODVkMjdjYjhiN2MiLCJ1c2VySWQiOiIxNDk5ODU0NjAwNDY3NCJ9</vt:lpwstr>
  </property>
  <property fmtid="{D5CDD505-2E9C-101B-9397-08002B2CF9AE}" pid="3" name="KSOProductBuildVer">
    <vt:lpwstr>1033-12.1.0.25242</vt:lpwstr>
  </property>
  <property fmtid="{D5CDD505-2E9C-101B-9397-08002B2CF9AE}" pid="4" name="ICV">
    <vt:lpwstr>719C96EC789B45AFAC54E95F58EB230F_13</vt:lpwstr>
  </property>
</Properties>
</file>